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B6FF" w14:textId="10C909C4" w:rsidR="00613559" w:rsidRPr="00791688" w:rsidRDefault="00A510C6">
      <w:pPr>
        <w:spacing w:after="0" w:line="228" w:lineRule="auto"/>
        <w:ind w:left="-5"/>
        <w:rPr>
          <w:i/>
        </w:rPr>
      </w:pPr>
      <w:r>
        <w:rPr>
          <w:b/>
          <w:sz w:val="28"/>
        </w:rPr>
        <w:t xml:space="preserve">Modelregeling omgaan met melden vermoeden misstand </w:t>
      </w:r>
      <w:r w:rsidRPr="00791688">
        <w:rPr>
          <w:b/>
          <w:i/>
          <w:sz w:val="28"/>
        </w:rPr>
        <w:t xml:space="preserve">of </w:t>
      </w:r>
      <w:r w:rsidR="00D3757D">
        <w:rPr>
          <w:b/>
          <w:i/>
          <w:sz w:val="28"/>
        </w:rPr>
        <w:t>integriteitsschending</w:t>
      </w:r>
      <w:r w:rsidR="00791688">
        <w:rPr>
          <w:rStyle w:val="Voetnootmarkering"/>
          <w:b/>
          <w:i/>
          <w:sz w:val="28"/>
        </w:rPr>
        <w:footnoteReference w:id="1"/>
      </w:r>
      <w:r w:rsidRPr="00791688">
        <w:rPr>
          <w:b/>
          <w:i/>
          <w:sz w:val="28"/>
        </w:rPr>
        <w:t xml:space="preserve"> </w:t>
      </w:r>
      <w:r w:rsidR="00AC1C1A" w:rsidRPr="00AC1C1A">
        <w:rPr>
          <w:b/>
          <w:iCs/>
          <w:sz w:val="28"/>
        </w:rPr>
        <w:t>en melden inbreuk op het Unierecht</w:t>
      </w:r>
    </w:p>
    <w:p w14:paraId="1CCE354C" w14:textId="77777777" w:rsidR="00613559" w:rsidRDefault="00A510C6">
      <w:pPr>
        <w:spacing w:after="33" w:line="259" w:lineRule="auto"/>
        <w:ind w:left="0" w:firstLine="0"/>
        <w:rPr>
          <w:b/>
        </w:rPr>
      </w:pPr>
      <w:r>
        <w:rPr>
          <w:b/>
        </w:rPr>
        <w:t xml:space="preserve"> </w:t>
      </w:r>
    </w:p>
    <w:p w14:paraId="61BC1C09" w14:textId="4DBFB824" w:rsidR="00F70DE2" w:rsidRDefault="00671790">
      <w:pPr>
        <w:spacing w:after="33" w:line="259" w:lineRule="auto"/>
        <w:ind w:left="0" w:firstLine="0"/>
        <w:rPr>
          <w:i/>
        </w:rPr>
      </w:pPr>
      <w:r>
        <w:rPr>
          <w:i/>
        </w:rPr>
        <w:t xml:space="preserve">[Op grond van de </w:t>
      </w:r>
      <w:r w:rsidR="00A67BD7" w:rsidRPr="00A67BD7">
        <w:rPr>
          <w:i/>
        </w:rPr>
        <w:t>Wet bescherming klokkenluiders</w:t>
      </w:r>
      <w:r>
        <w:rPr>
          <w:i/>
        </w:rPr>
        <w:t xml:space="preserve"> </w:t>
      </w:r>
      <w:r w:rsidR="00081657">
        <w:rPr>
          <w:i/>
        </w:rPr>
        <w:t>dienen a</w:t>
      </w:r>
      <w:r w:rsidRPr="00671790">
        <w:rPr>
          <w:i/>
        </w:rPr>
        <w:t xml:space="preserve">lle organisaties waar 50 of meer mensen werken een klokkenluidersregeling </w:t>
      </w:r>
      <w:r w:rsidR="00081657">
        <w:rPr>
          <w:i/>
        </w:rPr>
        <w:t xml:space="preserve">te </w:t>
      </w:r>
      <w:r w:rsidRPr="00671790">
        <w:rPr>
          <w:i/>
        </w:rPr>
        <w:t>hebben.</w:t>
      </w:r>
      <w:r w:rsidR="00C72480">
        <w:rPr>
          <w:i/>
        </w:rPr>
        <w:t xml:space="preserve"> Volgens de </w:t>
      </w:r>
      <w:proofErr w:type="spellStart"/>
      <w:r w:rsidR="00C72480">
        <w:rPr>
          <w:i/>
        </w:rPr>
        <w:t>Governance</w:t>
      </w:r>
      <w:r w:rsidR="0073461B">
        <w:rPr>
          <w:i/>
        </w:rPr>
        <w:t>c</w:t>
      </w:r>
      <w:r w:rsidR="00C72480">
        <w:rPr>
          <w:i/>
        </w:rPr>
        <w:t>ode</w:t>
      </w:r>
      <w:proofErr w:type="spellEnd"/>
      <w:r w:rsidR="00C72480">
        <w:rPr>
          <w:i/>
        </w:rPr>
        <w:t xml:space="preserve"> Woningcorporaties </w:t>
      </w:r>
      <w:r w:rsidR="0073461B">
        <w:rPr>
          <w:i/>
        </w:rPr>
        <w:t xml:space="preserve">2020 </w:t>
      </w:r>
      <w:r w:rsidR="00090E67">
        <w:rPr>
          <w:i/>
        </w:rPr>
        <w:t xml:space="preserve">geldt dat </w:t>
      </w:r>
      <w:r w:rsidR="00C72480">
        <w:rPr>
          <w:i/>
        </w:rPr>
        <w:t xml:space="preserve">ook </w:t>
      </w:r>
      <w:r w:rsidR="00090E67">
        <w:rPr>
          <w:i/>
        </w:rPr>
        <w:t xml:space="preserve">voor </w:t>
      </w:r>
      <w:r w:rsidR="00C72480">
        <w:rPr>
          <w:i/>
        </w:rPr>
        <w:t xml:space="preserve">alle leden van Aedes. In een klokkenluidersregeling </w:t>
      </w:r>
      <w:r w:rsidR="0073461B">
        <w:rPr>
          <w:i/>
        </w:rPr>
        <w:t xml:space="preserve">stelt </w:t>
      </w:r>
      <w:r w:rsidRPr="00671790">
        <w:rPr>
          <w:i/>
        </w:rPr>
        <w:t xml:space="preserve">de werkgever </w:t>
      </w:r>
      <w:r w:rsidR="0073461B">
        <w:rPr>
          <w:i/>
        </w:rPr>
        <w:t>voor zijn werknemers</w:t>
      </w:r>
      <w:r w:rsidRPr="00671790">
        <w:rPr>
          <w:i/>
        </w:rPr>
        <w:t xml:space="preserve"> </w:t>
      </w:r>
      <w:r w:rsidR="0073461B">
        <w:rPr>
          <w:i/>
        </w:rPr>
        <w:t xml:space="preserve">een procedure vast voor het melden </w:t>
      </w:r>
      <w:r w:rsidRPr="00671790">
        <w:rPr>
          <w:i/>
        </w:rPr>
        <w:t>van een vermoeden van een misstand</w:t>
      </w:r>
      <w:r w:rsidR="0073461B">
        <w:rPr>
          <w:i/>
        </w:rPr>
        <w:t xml:space="preserve"> binnen zijn organisatie</w:t>
      </w:r>
      <w:r w:rsidRPr="00671790">
        <w:rPr>
          <w:i/>
        </w:rPr>
        <w:t xml:space="preserve">. </w:t>
      </w:r>
    </w:p>
    <w:p w14:paraId="2DDF643A" w14:textId="3303B26E" w:rsidR="00671790" w:rsidRDefault="00671790">
      <w:pPr>
        <w:spacing w:after="33" w:line="259" w:lineRule="auto"/>
        <w:ind w:left="0" w:firstLine="0"/>
        <w:rPr>
          <w:i/>
        </w:rPr>
      </w:pPr>
      <w:r w:rsidRPr="00671790">
        <w:rPr>
          <w:i/>
        </w:rPr>
        <w:t xml:space="preserve">In de wet staat wat er ten minste in de klokkenluidersregeling moet staan. </w:t>
      </w:r>
      <w:bookmarkStart w:id="0" w:name="OpenAt"/>
      <w:bookmarkEnd w:id="0"/>
      <w:r w:rsidR="0032212E">
        <w:rPr>
          <w:i/>
        </w:rPr>
        <w:t xml:space="preserve">Door de wijziging van de Wet </w:t>
      </w:r>
      <w:r w:rsidR="00F70DE2">
        <w:rPr>
          <w:i/>
        </w:rPr>
        <w:t>Huis voor Klokkenluiders per</w:t>
      </w:r>
      <w:r w:rsidR="00090E67">
        <w:rPr>
          <w:i/>
        </w:rPr>
        <w:t xml:space="preserve"> 18 februari 2023</w:t>
      </w:r>
      <w:r w:rsidR="00F70DE2">
        <w:rPr>
          <w:i/>
        </w:rPr>
        <w:t xml:space="preserve"> is niet alleen de naam van d</w:t>
      </w:r>
      <w:r w:rsidR="0002459C">
        <w:rPr>
          <w:i/>
        </w:rPr>
        <w:t>i</w:t>
      </w:r>
      <w:r w:rsidR="00F70DE2">
        <w:rPr>
          <w:i/>
        </w:rPr>
        <w:t>e wet gewijzigd in Wet bescherming klokkenluiders, maar zijn er in de wet ook meer regels vastgelegd over wat er ten minste in een klokkenluidersregeling moet staan</w:t>
      </w:r>
      <w:r w:rsidR="001E36AB">
        <w:rPr>
          <w:i/>
        </w:rPr>
        <w:t xml:space="preserve">; bovendien moet de interne meldingsprocedure </w:t>
      </w:r>
      <w:r w:rsidR="001E36AB" w:rsidRPr="001E36AB">
        <w:rPr>
          <w:i/>
        </w:rPr>
        <w:t xml:space="preserve">ook </w:t>
      </w:r>
      <w:r w:rsidR="001B47F0">
        <w:rPr>
          <w:i/>
        </w:rPr>
        <w:t xml:space="preserve">gaan gelden </w:t>
      </w:r>
      <w:r w:rsidR="001E36AB" w:rsidRPr="001E36AB">
        <w:rPr>
          <w:i/>
        </w:rPr>
        <w:t xml:space="preserve">voor meldingen over inbreuken op het recht van de Europese Unie. </w:t>
      </w:r>
      <w:r w:rsidR="00B921CB">
        <w:rPr>
          <w:i/>
        </w:rPr>
        <w:t>Woningcorporaties moeten hun bestaande klokkenluidersregeling daa</w:t>
      </w:r>
      <w:r w:rsidR="001E36AB">
        <w:rPr>
          <w:i/>
        </w:rPr>
        <w:t>rom aanpassen aan de nieuwe regelgeving.</w:t>
      </w:r>
      <w:r w:rsidR="002A3729">
        <w:rPr>
          <w:rStyle w:val="Voetnootmarkering"/>
          <w:i/>
        </w:rPr>
        <w:footnoteReference w:id="2"/>
      </w:r>
      <w:r w:rsidR="001E36AB">
        <w:rPr>
          <w:i/>
        </w:rPr>
        <w:t xml:space="preserve"> </w:t>
      </w:r>
      <w:r w:rsidR="00B921CB">
        <w:rPr>
          <w:i/>
        </w:rPr>
        <w:t xml:space="preserve"> </w:t>
      </w:r>
    </w:p>
    <w:p w14:paraId="6E14C0B6" w14:textId="77777777" w:rsidR="005644C2" w:rsidRDefault="005644C2">
      <w:pPr>
        <w:spacing w:after="33" w:line="259" w:lineRule="auto"/>
        <w:ind w:left="0" w:firstLine="0"/>
        <w:rPr>
          <w:i/>
        </w:rPr>
      </w:pPr>
    </w:p>
    <w:p w14:paraId="2D31F670" w14:textId="5CD7D724" w:rsidR="005644C2" w:rsidRDefault="005644C2">
      <w:pPr>
        <w:spacing w:after="33" w:line="259" w:lineRule="auto"/>
        <w:ind w:left="0" w:firstLine="0"/>
        <w:rPr>
          <w:i/>
        </w:rPr>
      </w:pPr>
      <w:r w:rsidRPr="005644C2">
        <w:rPr>
          <w:i/>
        </w:rPr>
        <w:t xml:space="preserve">Houdt u er rekening mee dat de ondernemingsraad </w:t>
      </w:r>
      <w:r w:rsidR="00F35C59">
        <w:rPr>
          <w:i/>
        </w:rPr>
        <w:t>resp</w:t>
      </w:r>
      <w:r w:rsidR="00143E99">
        <w:rPr>
          <w:i/>
        </w:rPr>
        <w:t xml:space="preserve">ectievelijk de </w:t>
      </w:r>
      <w:r w:rsidR="00F35C59">
        <w:rPr>
          <w:i/>
        </w:rPr>
        <w:t xml:space="preserve">personeelsvertegenwoordiging </w:t>
      </w:r>
      <w:r w:rsidRPr="005644C2">
        <w:rPr>
          <w:i/>
        </w:rPr>
        <w:t xml:space="preserve">instemmingsrecht heeft op de </w:t>
      </w:r>
      <w:r w:rsidR="00CC01D3">
        <w:rPr>
          <w:i/>
        </w:rPr>
        <w:t xml:space="preserve">wijziging van de </w:t>
      </w:r>
      <w:r w:rsidRPr="005644C2">
        <w:rPr>
          <w:i/>
        </w:rPr>
        <w:t>interne meldregeling. Het is aan te raden de ondernemingsraad</w:t>
      </w:r>
      <w:r w:rsidR="000C2B04">
        <w:rPr>
          <w:i/>
        </w:rPr>
        <w:t xml:space="preserve"> resp</w:t>
      </w:r>
      <w:r w:rsidR="00BA4868">
        <w:rPr>
          <w:i/>
        </w:rPr>
        <w:t>ectievelijk de</w:t>
      </w:r>
      <w:r w:rsidR="000C2B04">
        <w:rPr>
          <w:i/>
        </w:rPr>
        <w:t xml:space="preserve"> personeelsvertegenwoordiging</w:t>
      </w:r>
      <w:r w:rsidRPr="005644C2">
        <w:rPr>
          <w:i/>
        </w:rPr>
        <w:t xml:space="preserve"> zo vroeg mogelijk te betrekken bij de </w:t>
      </w:r>
      <w:r w:rsidR="00CC01D3">
        <w:rPr>
          <w:i/>
        </w:rPr>
        <w:t xml:space="preserve">wijziging </w:t>
      </w:r>
      <w:r w:rsidRPr="005644C2">
        <w:rPr>
          <w:i/>
        </w:rPr>
        <w:t>van de regeling.</w:t>
      </w:r>
      <w:r w:rsidR="000C2B04" w:rsidRPr="000C2B04">
        <w:t xml:space="preserve"> </w:t>
      </w:r>
      <w:r w:rsidR="000C2B04">
        <w:rPr>
          <w:i/>
        </w:rPr>
        <w:t>Bij een organisatie die niet verplicht is om een o</w:t>
      </w:r>
      <w:r w:rsidR="000C2B04" w:rsidRPr="000C2B04">
        <w:rPr>
          <w:i/>
        </w:rPr>
        <w:t xml:space="preserve">ndernemingsraad of personeelsvertegenwoordiging </w:t>
      </w:r>
      <w:r w:rsidR="000C2B04">
        <w:rPr>
          <w:i/>
        </w:rPr>
        <w:t>i</w:t>
      </w:r>
      <w:r w:rsidR="000C2B04" w:rsidRPr="000C2B04">
        <w:rPr>
          <w:i/>
        </w:rPr>
        <w:t>n</w:t>
      </w:r>
      <w:r w:rsidR="000C2B04">
        <w:rPr>
          <w:i/>
        </w:rPr>
        <w:t xml:space="preserve"> te stellen en dat </w:t>
      </w:r>
      <w:r w:rsidR="00032F33">
        <w:rPr>
          <w:i/>
        </w:rPr>
        <w:t xml:space="preserve">ook </w:t>
      </w:r>
      <w:r w:rsidR="000C2B04">
        <w:rPr>
          <w:i/>
        </w:rPr>
        <w:t xml:space="preserve">niet heeft gedaan, </w:t>
      </w:r>
      <w:r w:rsidR="000C2B04" w:rsidRPr="000C2B04">
        <w:rPr>
          <w:i/>
        </w:rPr>
        <w:t>is</w:t>
      </w:r>
      <w:r w:rsidR="00CE3C57">
        <w:rPr>
          <w:i/>
        </w:rPr>
        <w:t xml:space="preserve"> voor de wijziging van de interne meldregeling </w:t>
      </w:r>
      <w:r w:rsidR="000C2B04" w:rsidRPr="000C2B04">
        <w:rPr>
          <w:i/>
        </w:rPr>
        <w:t xml:space="preserve">de instemming </w:t>
      </w:r>
      <w:r w:rsidR="00CE3C57">
        <w:rPr>
          <w:i/>
        </w:rPr>
        <w:t xml:space="preserve">nodig </w:t>
      </w:r>
      <w:r w:rsidR="000C2B04" w:rsidRPr="000C2B04">
        <w:rPr>
          <w:i/>
        </w:rPr>
        <w:t>van meer dan de helft van de werknemers.</w:t>
      </w:r>
      <w:r w:rsidR="00032F33">
        <w:rPr>
          <w:rStyle w:val="Voetnootmarkering"/>
          <w:i/>
        </w:rPr>
        <w:footnoteReference w:id="3"/>
      </w:r>
    </w:p>
    <w:p w14:paraId="70C7E4F3" w14:textId="77777777" w:rsidR="005644C2" w:rsidRDefault="005644C2">
      <w:pPr>
        <w:spacing w:after="33" w:line="259" w:lineRule="auto"/>
        <w:ind w:left="0" w:firstLine="0"/>
        <w:rPr>
          <w:i/>
        </w:rPr>
      </w:pPr>
    </w:p>
    <w:p w14:paraId="3FA73C4F" w14:textId="509BA27F" w:rsidR="005644C2" w:rsidRPr="00671790" w:rsidRDefault="005644C2">
      <w:pPr>
        <w:spacing w:after="33" w:line="259" w:lineRule="auto"/>
        <w:ind w:left="0" w:firstLine="0"/>
        <w:rPr>
          <w:i/>
        </w:rPr>
      </w:pPr>
      <w:r>
        <w:rPr>
          <w:i/>
        </w:rPr>
        <w:t>Deze modelregeling is een voorbeeld dat een woningcorporatie kan gebruiken als klokkenluidersregeling. Het staat een woningcorporatie vrij van de tekst af te wijken, mits wordt voldaan aan de</w:t>
      </w:r>
      <w:r w:rsidR="00E94C43">
        <w:rPr>
          <w:i/>
        </w:rPr>
        <w:t xml:space="preserve"> eisen van</w:t>
      </w:r>
      <w:r>
        <w:rPr>
          <w:i/>
        </w:rPr>
        <w:t xml:space="preserve"> </w:t>
      </w:r>
      <w:r w:rsidR="00E94C43">
        <w:rPr>
          <w:i/>
        </w:rPr>
        <w:t xml:space="preserve">de </w:t>
      </w:r>
      <w:r w:rsidR="00A67BD7" w:rsidRPr="00A67BD7">
        <w:rPr>
          <w:i/>
        </w:rPr>
        <w:t xml:space="preserve">Wet </w:t>
      </w:r>
      <w:r w:rsidR="00557318">
        <w:rPr>
          <w:i/>
        </w:rPr>
        <w:t>bescherming</w:t>
      </w:r>
      <w:r w:rsidR="00A67BD7" w:rsidRPr="00A67BD7">
        <w:rPr>
          <w:i/>
        </w:rPr>
        <w:t xml:space="preserve"> </w:t>
      </w:r>
      <w:r w:rsidR="00557318">
        <w:rPr>
          <w:i/>
        </w:rPr>
        <w:t>k</w:t>
      </w:r>
      <w:r w:rsidR="00A67BD7" w:rsidRPr="00A67BD7">
        <w:rPr>
          <w:i/>
        </w:rPr>
        <w:t>lokkenluiders</w:t>
      </w:r>
      <w:r>
        <w:rPr>
          <w:i/>
        </w:rPr>
        <w:t xml:space="preserve">. </w:t>
      </w:r>
      <w:r w:rsidRPr="00BA4868">
        <w:rPr>
          <w:i/>
        </w:rPr>
        <w:t>Waar een bepaling facultatief is, is dit in de tekst aangegeven</w:t>
      </w:r>
      <w:r w:rsidR="00E94C43" w:rsidRPr="00BA4868">
        <w:rPr>
          <w:i/>
        </w:rPr>
        <w:t xml:space="preserve"> als gecursiveerde tekst</w:t>
      </w:r>
      <w:r w:rsidR="00081657" w:rsidRPr="00BA4868">
        <w:rPr>
          <w:i/>
        </w:rPr>
        <w:t>.</w:t>
      </w:r>
      <w:r w:rsidRPr="00BA4868">
        <w:rPr>
          <w:i/>
        </w:rPr>
        <w:t>]</w:t>
      </w:r>
    </w:p>
    <w:p w14:paraId="0DC16A42" w14:textId="77777777" w:rsidR="00613559" w:rsidRDefault="00613559">
      <w:pPr>
        <w:spacing w:after="33" w:line="259" w:lineRule="auto"/>
        <w:ind w:left="0" w:firstLine="0"/>
      </w:pPr>
    </w:p>
    <w:p w14:paraId="50162B5C" w14:textId="77777777" w:rsidR="00613559" w:rsidRDefault="00A510C6">
      <w:pPr>
        <w:spacing w:after="31" w:line="259" w:lineRule="auto"/>
        <w:ind w:left="0" w:firstLine="0"/>
      </w:pPr>
      <w:r>
        <w:t xml:space="preserve"> </w:t>
      </w:r>
    </w:p>
    <w:p w14:paraId="7D8A49E6" w14:textId="77777777" w:rsidR="00613559" w:rsidRDefault="00A510C6">
      <w:pPr>
        <w:pStyle w:val="Kop1"/>
        <w:ind w:left="-5"/>
      </w:pPr>
      <w:r>
        <w:t xml:space="preserve">Artikel 1. Begripsbepalingen  </w:t>
      </w:r>
    </w:p>
    <w:p w14:paraId="3D4208D2" w14:textId="77777777" w:rsidR="00613559" w:rsidRDefault="00A510C6">
      <w:pPr>
        <w:numPr>
          <w:ilvl w:val="0"/>
          <w:numId w:val="1"/>
        </w:numPr>
        <w:ind w:hanging="360"/>
      </w:pPr>
      <w:r>
        <w:t xml:space="preserve">In deze regeling wordt verstaan onder:  </w:t>
      </w:r>
    </w:p>
    <w:p w14:paraId="63E2ACD3" w14:textId="7B484F0D" w:rsidR="00C51F45" w:rsidRDefault="00C51F45" w:rsidP="00C51F45">
      <w:pPr>
        <w:numPr>
          <w:ilvl w:val="1"/>
          <w:numId w:val="1"/>
        </w:numPr>
        <w:ind w:hanging="360"/>
      </w:pPr>
      <w:r>
        <w:rPr>
          <w:b/>
        </w:rPr>
        <w:t>adviseur</w:t>
      </w:r>
      <w:r>
        <w:t>: een persoon die uit hoofde van zijn functie een geheimhoudingsplicht heeft en die door een werknemer in vertrouwen wordt geraadpleegd over een vermoeden van een misstand. Liefst is dit de vertrouwenspersoon</w:t>
      </w:r>
      <w:r>
        <w:rPr>
          <w:rStyle w:val="Voetnootmarkering"/>
        </w:rPr>
        <w:footnoteReference w:id="4"/>
      </w:r>
      <w:r>
        <w:t>;</w:t>
      </w:r>
    </w:p>
    <w:p w14:paraId="7163B782" w14:textId="42649931" w:rsidR="00C51F45" w:rsidRDefault="00C51F45" w:rsidP="00C51F45">
      <w:pPr>
        <w:numPr>
          <w:ilvl w:val="1"/>
          <w:numId w:val="1"/>
        </w:numPr>
        <w:ind w:hanging="360"/>
      </w:pPr>
      <w:r>
        <w:rPr>
          <w:b/>
        </w:rPr>
        <w:t>afdeling advies van het Huis voor Klokkenluiders</w:t>
      </w:r>
      <w:r>
        <w:t xml:space="preserve">: de afdeling advies van het Huis, bedoeld in artikel 3a, lid 2, Wet </w:t>
      </w:r>
      <w:r w:rsidRPr="0090027B">
        <w:rPr>
          <w:highlight w:val="yellow"/>
        </w:rPr>
        <w:t>bescherming</w:t>
      </w:r>
      <w:r>
        <w:t xml:space="preserve"> klokkenluiders; </w:t>
      </w:r>
    </w:p>
    <w:p w14:paraId="22ACDD5F" w14:textId="77777777" w:rsidR="008C7DFA" w:rsidRDefault="008C7DFA" w:rsidP="008C7DFA">
      <w:pPr>
        <w:numPr>
          <w:ilvl w:val="1"/>
          <w:numId w:val="1"/>
        </w:numPr>
        <w:ind w:hanging="360"/>
      </w:pPr>
      <w:r>
        <w:rPr>
          <w:b/>
        </w:rPr>
        <w:t>afdeling onderzoek van het Huis voor Klokkenluiders</w:t>
      </w:r>
      <w:r>
        <w:t xml:space="preserve">: de afdeling onderzoek van het Huis, bedoeld in artikel 3a, lid 3, </w:t>
      </w:r>
      <w:r w:rsidRPr="005C2394">
        <w:t xml:space="preserve">Wet </w:t>
      </w:r>
      <w:r w:rsidRPr="00353380">
        <w:rPr>
          <w:highlight w:val="yellow"/>
        </w:rPr>
        <w:t xml:space="preserve">bescherming </w:t>
      </w:r>
      <w:r w:rsidRPr="005C2394">
        <w:t>klokkenluiders;</w:t>
      </w:r>
      <w:r>
        <w:t xml:space="preserve"> </w:t>
      </w:r>
    </w:p>
    <w:p w14:paraId="5A7CC4A1" w14:textId="1F79E23C" w:rsidR="00C51F45" w:rsidRDefault="00C51F45" w:rsidP="00C51F45">
      <w:pPr>
        <w:numPr>
          <w:ilvl w:val="1"/>
          <w:numId w:val="1"/>
        </w:numPr>
        <w:ind w:hanging="360"/>
        <w:rPr>
          <w:highlight w:val="yellow"/>
        </w:rPr>
      </w:pPr>
      <w:r w:rsidRPr="00695B39">
        <w:rPr>
          <w:b/>
          <w:bCs/>
          <w:highlight w:val="yellow"/>
        </w:rPr>
        <w:t>benadeling</w:t>
      </w:r>
      <w:r w:rsidRPr="00695B39">
        <w:rPr>
          <w:highlight w:val="yellow"/>
        </w:rPr>
        <w:t>: benadeling als bedoeld in artikel 17da van de Wet bescherming klokkenluiders, zoals</w:t>
      </w:r>
      <w:r>
        <w:rPr>
          <w:highlight w:val="yellow"/>
        </w:rPr>
        <w:t xml:space="preserve"> (niet limitatief)</w:t>
      </w:r>
      <w:r w:rsidRPr="00695B39">
        <w:rPr>
          <w:highlight w:val="yellow"/>
        </w:rPr>
        <w:t xml:space="preserve">: ontslag of schorsing, demotie, het onthouden van bevordering, negatieve beoordeling, schriftelijke berisping, discriminatie, intimidatie, pesterijen of uitsluiting, smaad of laster, voortijdige beëindiging van een overeenkomst </w:t>
      </w:r>
      <w:r w:rsidRPr="00695B39">
        <w:rPr>
          <w:highlight w:val="yellow"/>
        </w:rPr>
        <w:lastRenderedPageBreak/>
        <w:t>voor het leveren van goederen of diensten, dreiging met benadeling en poging tot benadeling</w:t>
      </w:r>
      <w:r>
        <w:rPr>
          <w:highlight w:val="yellow"/>
        </w:rPr>
        <w:t>;</w:t>
      </w:r>
    </w:p>
    <w:p w14:paraId="5D4A87BD" w14:textId="77777777" w:rsidR="00C51F45" w:rsidRDefault="00C51F45" w:rsidP="00C51F45">
      <w:pPr>
        <w:numPr>
          <w:ilvl w:val="1"/>
          <w:numId w:val="1"/>
        </w:numPr>
        <w:ind w:hanging="360"/>
        <w:rPr>
          <w:highlight w:val="yellow"/>
        </w:rPr>
      </w:pPr>
      <w:r w:rsidRPr="00695B39">
        <w:rPr>
          <w:b/>
          <w:bCs/>
          <w:highlight w:val="yellow"/>
        </w:rPr>
        <w:t>betrokken derde</w:t>
      </w:r>
      <w:r w:rsidRPr="00695B39">
        <w:rPr>
          <w:highlight w:val="yellow"/>
        </w:rPr>
        <w:t>: een derde die verbonden is met een melder en die kan worden benadeeld door de werkgever van de melder of een persoon of organisatie waarmee de melder anderszins in een werkgerelateerde context verbonden is, en een rechtspersoon die eigendom is van de melder, waarvoor de melder werkt of waarmee de melder anderszins werkgerelateerd verbonden is;</w:t>
      </w:r>
      <w:r w:rsidRPr="00695B39">
        <w:rPr>
          <w:rStyle w:val="Voetnootmarkering"/>
          <w:highlight w:val="yellow"/>
        </w:rPr>
        <w:footnoteReference w:id="5"/>
      </w:r>
    </w:p>
    <w:p w14:paraId="7FA772F4" w14:textId="5C6F411B" w:rsidR="00C51F45" w:rsidRDefault="00C51F45" w:rsidP="00C51F45">
      <w:pPr>
        <w:numPr>
          <w:ilvl w:val="1"/>
          <w:numId w:val="1"/>
        </w:numPr>
        <w:ind w:hanging="360"/>
        <w:rPr>
          <w:highlight w:val="yellow"/>
        </w:rPr>
      </w:pPr>
      <w:r w:rsidRPr="00241DBA">
        <w:rPr>
          <w:b/>
          <w:highlight w:val="yellow"/>
        </w:rPr>
        <w:t>bevoegde autoriteit</w:t>
      </w:r>
      <w:r w:rsidRPr="00241DBA">
        <w:rPr>
          <w:highlight w:val="yellow"/>
        </w:rPr>
        <w:t>: organisatie als bedoeld in artikel 2c van de Wet bescherming klokkenluiders die kan zorgdragen voor de ontvangst en opvolging van een melding, zoals (niet limitatief) het Huis voor klokkenluiders, de Autoriteit Consument en Markt, de Autoriteit Financiële Markten en de Autoriteit persoonsgegevens;</w:t>
      </w:r>
    </w:p>
    <w:p w14:paraId="2B1B021B" w14:textId="77777777" w:rsidR="008C7DFA" w:rsidRDefault="008C7DFA" w:rsidP="008C7DFA">
      <w:pPr>
        <w:numPr>
          <w:ilvl w:val="1"/>
          <w:numId w:val="1"/>
        </w:numPr>
        <w:ind w:hanging="360"/>
      </w:pPr>
      <w:r w:rsidRPr="00695B39">
        <w:rPr>
          <w:b/>
          <w:i/>
          <w:iCs/>
        </w:rPr>
        <w:t>contactpersoon</w:t>
      </w:r>
      <w:r w:rsidRPr="00695B39">
        <w:rPr>
          <w:i/>
          <w:iCs/>
        </w:rPr>
        <w:t>: degene die door de hoogste leidinggevende na ontvangst van de melding, in overleg met de melder, is aangewezen, als contactpersoon met het oog op het tegengaan van benadeling</w:t>
      </w:r>
      <w:r w:rsidRPr="00695B39">
        <w:rPr>
          <w:rStyle w:val="Voetnootmarkering"/>
          <w:i/>
          <w:iCs/>
        </w:rPr>
        <w:footnoteReference w:id="6"/>
      </w:r>
      <w:r w:rsidRPr="00695B39">
        <w:rPr>
          <w:i/>
          <w:iCs/>
        </w:rPr>
        <w:t>;</w:t>
      </w:r>
      <w:r>
        <w:t xml:space="preserve"> </w:t>
      </w:r>
    </w:p>
    <w:p w14:paraId="3FC3062F" w14:textId="02033069" w:rsidR="00F1552D" w:rsidRDefault="00F1552D" w:rsidP="00F1552D">
      <w:pPr>
        <w:numPr>
          <w:ilvl w:val="1"/>
          <w:numId w:val="1"/>
        </w:numPr>
        <w:ind w:hanging="360"/>
        <w:rPr>
          <w:highlight w:val="yellow"/>
        </w:rPr>
      </w:pPr>
      <w:r w:rsidRPr="00695B39">
        <w:rPr>
          <w:b/>
          <w:bCs/>
          <w:highlight w:val="yellow"/>
        </w:rPr>
        <w:t>degene die een melder bijstaat</w:t>
      </w:r>
      <w:r w:rsidRPr="00695B39">
        <w:rPr>
          <w:highlight w:val="yellow"/>
        </w:rPr>
        <w:t>: een natuurlijke persoon of rechtspersoon die een melder adviseert in het meldingsproces in een werkgerelateerde context en wiens advisering vertrouwelijk is;</w:t>
      </w:r>
      <w:r w:rsidRPr="00695B39">
        <w:rPr>
          <w:rStyle w:val="Voetnootmarkering"/>
          <w:highlight w:val="yellow"/>
        </w:rPr>
        <w:footnoteReference w:id="7"/>
      </w:r>
    </w:p>
    <w:p w14:paraId="5579A1CA" w14:textId="77777777" w:rsidR="008C7DFA" w:rsidRDefault="008C7DFA" w:rsidP="008C7DFA">
      <w:pPr>
        <w:numPr>
          <w:ilvl w:val="1"/>
          <w:numId w:val="1"/>
        </w:numPr>
        <w:ind w:hanging="360"/>
      </w:pPr>
      <w:r w:rsidRPr="0042342E">
        <w:rPr>
          <w:b/>
        </w:rPr>
        <w:t xml:space="preserve">externe instantie: </w:t>
      </w:r>
      <w:r w:rsidRPr="00695B39">
        <w:rPr>
          <w:bCs/>
          <w:highlight w:val="yellow"/>
        </w:rPr>
        <w:t>een instantie waar het vermoeden van een misstand kan worden gemeld, een instantie die is belast met de opsporing van strafbare feiten, een instantie die is belast met het toezicht op de naleving van het bepaalde bij of krachtens enig wettelijk voorschrift, het Huis voor klokkenluiders,</w:t>
      </w:r>
      <w:r>
        <w:rPr>
          <w:bCs/>
        </w:rPr>
        <w:t xml:space="preserve"> </w:t>
      </w:r>
      <w:r w:rsidRPr="0042342E">
        <w:rPr>
          <w:bCs/>
        </w:rPr>
        <w:t>het</w:t>
      </w:r>
      <w:r w:rsidRPr="00D12F3C">
        <w:t xml:space="preserve"> Meldpunt Integriteit Woningcorporaties (MIW) van de A</w:t>
      </w:r>
      <w:r>
        <w:t xml:space="preserve">utoriteit Woningcorporaties; </w:t>
      </w:r>
    </w:p>
    <w:p w14:paraId="6A51331C" w14:textId="606F8FCC" w:rsidR="00F1552D" w:rsidRPr="00241DBA" w:rsidRDefault="00F1552D" w:rsidP="00F1552D">
      <w:pPr>
        <w:numPr>
          <w:ilvl w:val="1"/>
          <w:numId w:val="1"/>
        </w:numPr>
        <w:ind w:hanging="360"/>
        <w:rPr>
          <w:highlight w:val="yellow"/>
        </w:rPr>
      </w:pPr>
      <w:r w:rsidRPr="00241DBA">
        <w:rPr>
          <w:b/>
          <w:bCs/>
          <w:highlight w:val="yellow"/>
        </w:rPr>
        <w:t>externe vertrouwenspersoon</w:t>
      </w:r>
      <w:r w:rsidRPr="00241DBA">
        <w:rPr>
          <w:highlight w:val="yellow"/>
        </w:rPr>
        <w:t>: onafhankelijke functionaris in de zin van de Wet bescherming klokkenluiders die door de werkgever is aangewezen om bij de organisatie van de werkgever te fungeren als degene aan wie een melding van een vermoeden van een misstand kan worden gedaan, en die zorgvuldige opvolging kan geven aan een bij hem gedane melding.</w:t>
      </w:r>
      <w:bookmarkStart w:id="2" w:name="_Hlk129899976"/>
      <w:r w:rsidRPr="00241DBA">
        <w:rPr>
          <w:rStyle w:val="Voetnootmarkering"/>
          <w:highlight w:val="yellow"/>
        </w:rPr>
        <w:footnoteReference w:id="8"/>
      </w:r>
      <w:bookmarkEnd w:id="2"/>
      <w:r w:rsidRPr="00241DBA">
        <w:rPr>
          <w:highlight w:val="yellow"/>
        </w:rPr>
        <w:t xml:space="preserve"> Deze functionaris vervult naast de functie van externe vertrouwenspersoon geen andere (formele) functies binnen de organisatie van werkgever;  </w:t>
      </w:r>
    </w:p>
    <w:p w14:paraId="5626C823" w14:textId="26C9D1A7" w:rsidR="008C7DFA" w:rsidRDefault="008C7DFA" w:rsidP="008C7DFA">
      <w:pPr>
        <w:numPr>
          <w:ilvl w:val="1"/>
          <w:numId w:val="1"/>
        </w:numPr>
        <w:ind w:hanging="360"/>
      </w:pPr>
      <w:r>
        <w:rPr>
          <w:b/>
        </w:rPr>
        <w:t>hoogste leidinggevende</w:t>
      </w:r>
      <w:r>
        <w:t>: het orgaan of de persoon die de dagelijkse leiding heeft over de organisatie van de werkgever</w:t>
      </w:r>
      <w:r>
        <w:rPr>
          <w:rStyle w:val="Voetnootmarkering"/>
        </w:rPr>
        <w:footnoteReference w:id="9"/>
      </w:r>
      <w:r>
        <w:t xml:space="preserve">; </w:t>
      </w:r>
    </w:p>
    <w:p w14:paraId="28D8C6A0" w14:textId="77777777" w:rsidR="008C7DFA" w:rsidRDefault="008C7DFA" w:rsidP="008C7DFA">
      <w:pPr>
        <w:numPr>
          <w:ilvl w:val="1"/>
          <w:numId w:val="1"/>
        </w:numPr>
        <w:ind w:hanging="360"/>
      </w:pPr>
      <w:r>
        <w:rPr>
          <w:b/>
        </w:rPr>
        <w:t>hoogste verantwoordelijke</w:t>
      </w:r>
      <w:r>
        <w:t xml:space="preserve">: het interne toezichtorgaan of als de organisatie van de werkgever geen intern toezichtorgaan heeft, de hoogste leidinggevende; </w:t>
      </w:r>
    </w:p>
    <w:p w14:paraId="165BFD5E" w14:textId="53D07D69" w:rsidR="008C7DFA" w:rsidRDefault="008C7DFA" w:rsidP="008C7DFA">
      <w:pPr>
        <w:numPr>
          <w:ilvl w:val="1"/>
          <w:numId w:val="1"/>
        </w:numPr>
        <w:ind w:hanging="360"/>
      </w:pPr>
      <w:r>
        <w:rPr>
          <w:b/>
        </w:rPr>
        <w:t>melder</w:t>
      </w:r>
      <w:r>
        <w:t xml:space="preserve">: </w:t>
      </w:r>
      <w:bookmarkStart w:id="3" w:name="_Hlk130193186"/>
      <w:r w:rsidRPr="00695B39">
        <w:rPr>
          <w:highlight w:val="yellow"/>
        </w:rPr>
        <w:t>een natuurlijke persoon</w:t>
      </w:r>
      <w:r>
        <w:t xml:space="preserve"> die </w:t>
      </w:r>
      <w:r w:rsidRPr="00695B39">
        <w:rPr>
          <w:highlight w:val="yellow"/>
        </w:rPr>
        <w:t>in de context van zijn werkgerelateerde activiteiten</w:t>
      </w:r>
      <w:r w:rsidRPr="00EF72D8" w:rsidDel="00DB76E4">
        <w:t xml:space="preserve"> </w:t>
      </w:r>
      <w:r>
        <w:t xml:space="preserve">een vermoeden van een misstand </w:t>
      </w:r>
      <w:bookmarkEnd w:id="3"/>
      <w:r w:rsidRPr="00695B39">
        <w:rPr>
          <w:highlight w:val="yellow"/>
        </w:rPr>
        <w:t>meldt of openbaar maakt</w:t>
      </w:r>
      <w:r>
        <w:t xml:space="preserve"> </w:t>
      </w:r>
      <w:r w:rsidRPr="00791688">
        <w:rPr>
          <w:i/>
        </w:rPr>
        <w:t xml:space="preserve">of </w:t>
      </w:r>
      <w:r>
        <w:rPr>
          <w:i/>
        </w:rPr>
        <w:t xml:space="preserve">een </w:t>
      </w:r>
      <w:r w:rsidRPr="00EF72D8">
        <w:rPr>
          <w:i/>
        </w:rPr>
        <w:t>onregelmatigheid meldt op grond van deze regeling</w:t>
      </w:r>
      <w:r>
        <w:rPr>
          <w:rStyle w:val="Voetnootmarkering"/>
        </w:rPr>
        <w:footnoteReference w:id="10"/>
      </w:r>
      <w:r>
        <w:t xml:space="preserve">; </w:t>
      </w:r>
    </w:p>
    <w:p w14:paraId="0263175D" w14:textId="00D46558" w:rsidR="008C7DFA" w:rsidRDefault="008C7DFA" w:rsidP="008C7DFA">
      <w:pPr>
        <w:numPr>
          <w:ilvl w:val="1"/>
          <w:numId w:val="1"/>
        </w:numPr>
        <w:ind w:hanging="360"/>
      </w:pPr>
      <w:r>
        <w:rPr>
          <w:b/>
        </w:rPr>
        <w:lastRenderedPageBreak/>
        <w:t>melding</w:t>
      </w:r>
      <w:r>
        <w:t xml:space="preserve">: de melding van een vermoeden van een misstand </w:t>
      </w:r>
      <w:r w:rsidRPr="00791688">
        <w:rPr>
          <w:i/>
        </w:rPr>
        <w:t xml:space="preserve">of </w:t>
      </w:r>
      <w:r w:rsidRPr="003426BE">
        <w:rPr>
          <w:i/>
        </w:rPr>
        <w:t>integriteitsschending op grond van deze regeling</w:t>
      </w:r>
      <w:r>
        <w:t xml:space="preserve">; </w:t>
      </w:r>
    </w:p>
    <w:p w14:paraId="0765D4DA" w14:textId="77777777" w:rsidR="00F1552D" w:rsidRPr="00277821" w:rsidRDefault="00F1552D" w:rsidP="00F1552D">
      <w:pPr>
        <w:numPr>
          <w:ilvl w:val="1"/>
          <w:numId w:val="1"/>
        </w:numPr>
        <w:ind w:hanging="360"/>
        <w:rPr>
          <w:highlight w:val="yellow"/>
        </w:rPr>
      </w:pPr>
      <w:r w:rsidRPr="00277821">
        <w:rPr>
          <w:b/>
          <w:bCs/>
          <w:highlight w:val="yellow"/>
        </w:rPr>
        <w:t>misstand</w:t>
      </w:r>
      <w:r w:rsidRPr="00277821">
        <w:rPr>
          <w:highlight w:val="yellow"/>
        </w:rPr>
        <w:t>:</w:t>
      </w:r>
    </w:p>
    <w:p w14:paraId="68A36631" w14:textId="77777777" w:rsidR="00F1552D" w:rsidRPr="00277821" w:rsidRDefault="00F1552D" w:rsidP="00F1552D">
      <w:pPr>
        <w:pStyle w:val="Lijstalinea"/>
        <w:numPr>
          <w:ilvl w:val="0"/>
          <w:numId w:val="45"/>
        </w:numPr>
        <w:rPr>
          <w:highlight w:val="yellow"/>
        </w:rPr>
      </w:pPr>
      <w:r w:rsidRPr="00277821">
        <w:rPr>
          <w:highlight w:val="yellow"/>
        </w:rPr>
        <w:t xml:space="preserve">een schending of een gevaar voor schending van het </w:t>
      </w:r>
      <w:r>
        <w:rPr>
          <w:highlight w:val="yellow"/>
        </w:rPr>
        <w:t>Unie</w:t>
      </w:r>
      <w:r w:rsidRPr="00277821">
        <w:rPr>
          <w:highlight w:val="yellow"/>
        </w:rPr>
        <w:t>recht</w:t>
      </w:r>
      <w:r w:rsidRPr="00277821">
        <w:rPr>
          <w:rStyle w:val="Voetnootmarkering"/>
          <w:highlight w:val="yellow"/>
        </w:rPr>
        <w:footnoteReference w:id="11"/>
      </w:r>
      <w:r w:rsidRPr="00277821">
        <w:rPr>
          <w:highlight w:val="yellow"/>
        </w:rPr>
        <w:t xml:space="preserve">; </w:t>
      </w:r>
    </w:p>
    <w:p w14:paraId="5F944C14" w14:textId="77777777" w:rsidR="00F1552D" w:rsidRDefault="00F1552D" w:rsidP="00F1552D">
      <w:pPr>
        <w:pStyle w:val="Lijstalinea"/>
        <w:numPr>
          <w:ilvl w:val="0"/>
          <w:numId w:val="45"/>
        </w:numPr>
      </w:pPr>
      <w:r w:rsidRPr="00277821">
        <w:rPr>
          <w:highlight w:val="yellow"/>
        </w:rPr>
        <w:t>een handeling of nalatigheid waarbij</w:t>
      </w:r>
      <w:r>
        <w:t xml:space="preserve"> het maatschappelijk belang</w:t>
      </w:r>
      <w:r>
        <w:rPr>
          <w:rStyle w:val="Voetnootmarkering"/>
        </w:rPr>
        <w:footnoteReference w:id="12"/>
      </w:r>
      <w:r>
        <w:t xml:space="preserve"> in het geding is bij: </w:t>
      </w:r>
    </w:p>
    <w:p w14:paraId="573772C8" w14:textId="77777777" w:rsidR="00F1552D" w:rsidRPr="00277821" w:rsidRDefault="00F1552D" w:rsidP="00F1552D">
      <w:pPr>
        <w:pStyle w:val="Lijstalinea"/>
        <w:numPr>
          <w:ilvl w:val="2"/>
          <w:numId w:val="48"/>
        </w:numPr>
        <w:ind w:left="1843" w:hanging="283"/>
        <w:rPr>
          <w:highlight w:val="yellow"/>
        </w:rPr>
      </w:pPr>
      <w:r>
        <w:t>een schending of een gevaar voor</w:t>
      </w:r>
      <w:r w:rsidRPr="004F78EB">
        <w:t xml:space="preserve"> schending</w:t>
      </w:r>
      <w:r>
        <w:t xml:space="preserve"> van een wettelijk voorschrift - waaronder een </w:t>
      </w:r>
      <w:r w:rsidRPr="00B74ED7">
        <w:rPr>
          <w:i/>
        </w:rPr>
        <w:t>(dreigend)</w:t>
      </w:r>
      <w:r>
        <w:t xml:space="preserve"> strafbaar feit – </w:t>
      </w:r>
      <w:r w:rsidRPr="00277821">
        <w:rPr>
          <w:highlight w:val="yellow"/>
        </w:rPr>
        <w:t xml:space="preserve">of </w:t>
      </w:r>
      <w:r>
        <w:rPr>
          <w:highlight w:val="yellow"/>
        </w:rPr>
        <w:t>een schending of gevaar voor</w:t>
      </w:r>
      <w:r w:rsidRPr="00277821">
        <w:rPr>
          <w:highlight w:val="yellow"/>
        </w:rPr>
        <w:t xml:space="preserve"> schending van interne regels die een concrete verplichting inhouden en die op grond van een wettelijk voorschrift door de werkgever zijn vastgesteld;</w:t>
      </w:r>
    </w:p>
    <w:p w14:paraId="053B427E" w14:textId="77777777" w:rsidR="00F1552D" w:rsidRDefault="00F1552D" w:rsidP="00F1552D">
      <w:pPr>
        <w:pStyle w:val="Lijstalinea"/>
        <w:numPr>
          <w:ilvl w:val="2"/>
          <w:numId w:val="48"/>
        </w:numPr>
        <w:ind w:left="1843" w:hanging="283"/>
      </w:pPr>
      <w:r>
        <w:t xml:space="preserve">een gevaar voor de volksgezondheid; </w:t>
      </w:r>
    </w:p>
    <w:p w14:paraId="4D729B76" w14:textId="77777777" w:rsidR="00F1552D" w:rsidRDefault="00F1552D" w:rsidP="00F1552D">
      <w:pPr>
        <w:numPr>
          <w:ilvl w:val="2"/>
          <w:numId w:val="2"/>
        </w:numPr>
        <w:spacing w:after="32" w:line="259" w:lineRule="auto"/>
        <w:ind w:left="1843" w:right="118" w:hanging="425"/>
      </w:pPr>
      <w:r>
        <w:t xml:space="preserve">een gevaar voor de veiligheid van personen; </w:t>
      </w:r>
    </w:p>
    <w:p w14:paraId="40C2E6D8" w14:textId="77777777" w:rsidR="00F1552D" w:rsidRPr="003336AF" w:rsidRDefault="00F1552D" w:rsidP="00F1552D">
      <w:pPr>
        <w:numPr>
          <w:ilvl w:val="2"/>
          <w:numId w:val="2"/>
        </w:numPr>
        <w:spacing w:after="32" w:line="259" w:lineRule="auto"/>
        <w:ind w:left="1843" w:right="118" w:hanging="425"/>
        <w:rPr>
          <w:i/>
        </w:rPr>
      </w:pPr>
      <w:r w:rsidRPr="00277821">
        <w:rPr>
          <w:iCs/>
        </w:rPr>
        <w:t>een gevaar voor de aantasting van het milieu</w:t>
      </w:r>
      <w:r>
        <w:rPr>
          <w:i/>
        </w:rPr>
        <w:t>;</w:t>
      </w:r>
      <w:r w:rsidRPr="003336AF">
        <w:rPr>
          <w:i/>
        </w:rPr>
        <w:t xml:space="preserve"> </w:t>
      </w:r>
    </w:p>
    <w:p w14:paraId="101EB24E" w14:textId="77777777" w:rsidR="00F1552D" w:rsidRPr="003336AF" w:rsidRDefault="00F1552D" w:rsidP="00F1552D">
      <w:pPr>
        <w:numPr>
          <w:ilvl w:val="2"/>
          <w:numId w:val="2"/>
        </w:numPr>
        <w:ind w:left="1843" w:right="118" w:hanging="425"/>
        <w:rPr>
          <w:i/>
        </w:rPr>
      </w:pPr>
      <w:r w:rsidRPr="00277821">
        <w:rPr>
          <w:iCs/>
        </w:rPr>
        <w:t>een gevaar voor het goed functioneren van de organisatie als gevolg van een onbehoorlijke wijze van handelen of nalaten</w:t>
      </w:r>
      <w:r>
        <w:rPr>
          <w:i/>
        </w:rPr>
        <w:t>;</w:t>
      </w:r>
      <w:r w:rsidRPr="003336AF">
        <w:rPr>
          <w:i/>
        </w:rPr>
        <w:t xml:space="preserve"> </w:t>
      </w:r>
    </w:p>
    <w:p w14:paraId="04AB18E8" w14:textId="77777777" w:rsidR="00F1552D" w:rsidRPr="00FA485D" w:rsidRDefault="00F1552D" w:rsidP="00F1552D">
      <w:pPr>
        <w:numPr>
          <w:ilvl w:val="2"/>
          <w:numId w:val="2"/>
        </w:numPr>
        <w:spacing w:after="33" w:line="259" w:lineRule="auto"/>
        <w:ind w:left="1843" w:right="118" w:hanging="425"/>
        <w:rPr>
          <w:i/>
        </w:rPr>
      </w:pPr>
      <w:r w:rsidRPr="00FA485D">
        <w:rPr>
          <w:i/>
        </w:rPr>
        <w:t>(een dreiging van) het bewust achterhouden, vernietigen of manipuleren van informatie over de onder i t/m v hierboven genoemde feiten</w:t>
      </w:r>
      <w:r>
        <w:rPr>
          <w:i/>
        </w:rPr>
        <w:t>.</w:t>
      </w:r>
    </w:p>
    <w:p w14:paraId="32E72318" w14:textId="77777777" w:rsidR="00F1552D" w:rsidRPr="00241DBA" w:rsidRDefault="00F1552D" w:rsidP="00F1552D">
      <w:pPr>
        <w:spacing w:after="3" w:line="294" w:lineRule="auto"/>
        <w:ind w:left="1068" w:firstLine="0"/>
        <w:rPr>
          <w:highlight w:val="yellow"/>
        </w:rPr>
      </w:pPr>
      <w:r w:rsidRPr="00277821">
        <w:rPr>
          <w:highlight w:val="yellow"/>
        </w:rPr>
        <w:t xml:space="preserve">Het maatschappelijk belang is in ieder geval in het geding indien de handeling of nalatigheid niet enkel persoonlijke belangen raakt en er sprake is van oftewel een patroon of </w:t>
      </w:r>
      <w:r w:rsidRPr="00241DBA">
        <w:rPr>
          <w:highlight w:val="yellow"/>
        </w:rPr>
        <w:t>structureel karakter dan wel de handeling of nalatigheid ernstig of omvangrijk is;</w:t>
      </w:r>
    </w:p>
    <w:p w14:paraId="31A1E316" w14:textId="64A0D214" w:rsidR="008C7DFA" w:rsidRDefault="008C7DFA" w:rsidP="008C7DFA">
      <w:pPr>
        <w:numPr>
          <w:ilvl w:val="1"/>
          <w:numId w:val="1"/>
        </w:numPr>
        <w:ind w:hanging="360"/>
      </w:pPr>
      <w:r>
        <w:rPr>
          <w:b/>
        </w:rPr>
        <w:t>onderzoekers</w:t>
      </w:r>
      <w:r w:rsidRPr="00695B39">
        <w:t>:</w:t>
      </w:r>
      <w:r>
        <w:t xml:space="preserve"> degenen aan wie de hoogste leidinggevende het onderzoek naar de misstand opdraagt; </w:t>
      </w:r>
    </w:p>
    <w:p w14:paraId="27BAE4E6" w14:textId="4CBC5812" w:rsidR="008C7DFA" w:rsidRPr="0035522C" w:rsidRDefault="008C7DFA" w:rsidP="008C7DFA">
      <w:pPr>
        <w:numPr>
          <w:ilvl w:val="1"/>
          <w:numId w:val="1"/>
        </w:numPr>
        <w:ind w:hanging="360"/>
        <w:rPr>
          <w:highlight w:val="yellow"/>
        </w:rPr>
      </w:pPr>
      <w:r w:rsidRPr="0035522C">
        <w:rPr>
          <w:b/>
          <w:bCs/>
          <w:highlight w:val="yellow"/>
        </w:rPr>
        <w:t>opvolging</w:t>
      </w:r>
      <w:r w:rsidRPr="0035522C">
        <w:rPr>
          <w:highlight w:val="yellow"/>
        </w:rPr>
        <w:t xml:space="preserve">: optreden van de werkgever om de juistheid van de gedane </w:t>
      </w:r>
      <w:r>
        <w:rPr>
          <w:highlight w:val="yellow"/>
        </w:rPr>
        <w:t xml:space="preserve">melding </w:t>
      </w:r>
      <w:r w:rsidRPr="0035522C">
        <w:rPr>
          <w:highlight w:val="yellow"/>
        </w:rPr>
        <w:t>na te gaan en zo nodig nader onderzoek te doen of maatregelen te treffen;</w:t>
      </w:r>
    </w:p>
    <w:p w14:paraId="7E611723" w14:textId="77777777" w:rsidR="00F1552D" w:rsidRPr="00277821" w:rsidRDefault="00F1552D" w:rsidP="00F1552D">
      <w:pPr>
        <w:numPr>
          <w:ilvl w:val="1"/>
          <w:numId w:val="1"/>
        </w:numPr>
        <w:spacing w:after="3" w:line="294" w:lineRule="auto"/>
        <w:ind w:hanging="360"/>
        <w:rPr>
          <w:highlight w:val="yellow"/>
        </w:rPr>
      </w:pPr>
      <w:r w:rsidRPr="00277821">
        <w:rPr>
          <w:b/>
          <w:bCs/>
          <w:highlight w:val="yellow"/>
        </w:rPr>
        <w:t>richtlijn</w:t>
      </w:r>
      <w:r w:rsidRPr="00277821">
        <w:rPr>
          <w:highlight w:val="yellow"/>
        </w:rPr>
        <w:t>: Richtlijn (EU) 2019/1937 van het Europees Parlement en de Raad van 23 oktober 2019 (PbEU 2019, L 305);</w:t>
      </w:r>
    </w:p>
    <w:p w14:paraId="4B699DF7" w14:textId="5039D166" w:rsidR="00F1552D" w:rsidRPr="00241DBA" w:rsidRDefault="00F1552D" w:rsidP="00F1552D">
      <w:pPr>
        <w:numPr>
          <w:ilvl w:val="1"/>
          <w:numId w:val="1"/>
        </w:numPr>
        <w:spacing w:after="3" w:line="294" w:lineRule="auto"/>
        <w:ind w:hanging="360"/>
        <w:rPr>
          <w:highlight w:val="yellow"/>
        </w:rPr>
      </w:pPr>
      <w:r w:rsidRPr="00241DBA">
        <w:rPr>
          <w:b/>
          <w:bCs/>
          <w:highlight w:val="yellow"/>
        </w:rPr>
        <w:t>schending van het Unierecht</w:t>
      </w:r>
      <w:r w:rsidRPr="00241DBA">
        <w:rPr>
          <w:highlight w:val="yellow"/>
        </w:rPr>
        <w:t>: handeling of nalatigheid die:</w:t>
      </w:r>
    </w:p>
    <w:p w14:paraId="2DDDEF30" w14:textId="77777777" w:rsidR="00F1552D" w:rsidRPr="00241DBA" w:rsidRDefault="00F1552D" w:rsidP="00F1552D">
      <w:pPr>
        <w:pStyle w:val="Lijstalinea"/>
        <w:numPr>
          <w:ilvl w:val="4"/>
          <w:numId w:val="48"/>
        </w:numPr>
        <w:spacing w:after="3" w:line="294" w:lineRule="auto"/>
        <w:ind w:left="1418" w:hanging="284"/>
        <w:rPr>
          <w:highlight w:val="yellow"/>
        </w:rPr>
      </w:pPr>
      <w:r w:rsidRPr="00241DBA">
        <w:rPr>
          <w:highlight w:val="yellow"/>
        </w:rPr>
        <w:t>onrechtmatig is en betrekking heeft op Uniehandelingen en beleidsterreinen die binnen het in artikel 2 van de Richtlijn bedoelde materiële toepassingsgebied vallen, of</w:t>
      </w:r>
    </w:p>
    <w:p w14:paraId="362DD1D7" w14:textId="77777777" w:rsidR="00F1552D" w:rsidRPr="00241DBA" w:rsidRDefault="00F1552D" w:rsidP="00F1552D">
      <w:pPr>
        <w:pStyle w:val="Lijstalinea"/>
        <w:numPr>
          <w:ilvl w:val="4"/>
          <w:numId w:val="48"/>
        </w:numPr>
        <w:spacing w:after="3" w:line="294" w:lineRule="auto"/>
        <w:ind w:left="1418" w:hanging="284"/>
        <w:rPr>
          <w:highlight w:val="yellow"/>
        </w:rPr>
      </w:pPr>
      <w:r w:rsidRPr="00241DBA">
        <w:rPr>
          <w:highlight w:val="yellow"/>
        </w:rPr>
        <w:t>het doel of de toepassing ondermijnt van de regels in de Uniehandelingen en beleidsterreinen die binnen artikel 2 van de Richtlijn bedoelde materiële toepassingsgebied vallen;</w:t>
      </w:r>
      <w:r w:rsidRPr="00241DBA">
        <w:rPr>
          <w:rStyle w:val="Voetnootmarkering"/>
          <w:highlight w:val="yellow"/>
        </w:rPr>
        <w:footnoteReference w:id="13"/>
      </w:r>
    </w:p>
    <w:p w14:paraId="08C824DB" w14:textId="77777777" w:rsidR="00F1552D" w:rsidRDefault="00F1552D" w:rsidP="00F1552D">
      <w:pPr>
        <w:numPr>
          <w:ilvl w:val="1"/>
          <w:numId w:val="1"/>
        </w:numPr>
        <w:spacing w:after="3" w:line="294" w:lineRule="auto"/>
        <w:ind w:hanging="360"/>
      </w:pPr>
      <w:r w:rsidRPr="00277821">
        <w:rPr>
          <w:b/>
          <w:i/>
          <w:iCs/>
        </w:rPr>
        <w:t>vermoeden van een integriteitsschending</w:t>
      </w:r>
      <w:r w:rsidRPr="00277821">
        <w:rPr>
          <w:i/>
          <w:iCs/>
        </w:rPr>
        <w:t>: een op redelijke gronden gebaseerd vermoeden van een onvolkomenheid of ongerechtigheid van algemene, operationele of financiële aard die plaatsvindt onder verantwoordelijkheid van de organisatie en zodanig ernstig is dat deze buiten de reguliere werkprocessen valt en de verantwoordelijkheid van de direct leidinggevende overstijgt</w:t>
      </w:r>
      <w:r>
        <w:rPr>
          <w:rStyle w:val="Voetnootmarkering"/>
        </w:rPr>
        <w:footnoteReference w:id="14"/>
      </w:r>
      <w:r>
        <w:t xml:space="preserve">; </w:t>
      </w:r>
    </w:p>
    <w:p w14:paraId="443F881A" w14:textId="3A11BF75" w:rsidR="00F1552D" w:rsidRDefault="00F1552D" w:rsidP="00F1552D">
      <w:pPr>
        <w:numPr>
          <w:ilvl w:val="1"/>
          <w:numId w:val="1"/>
        </w:numPr>
        <w:ind w:hanging="360"/>
      </w:pPr>
      <w:r w:rsidRPr="00466074">
        <w:rPr>
          <w:b/>
        </w:rPr>
        <w:lastRenderedPageBreak/>
        <w:t>vermoeden van een misstand</w:t>
      </w:r>
      <w:r>
        <w:t xml:space="preserve">: het vermoeden van een </w:t>
      </w:r>
      <w:r w:rsidRPr="001C38F6">
        <w:rPr>
          <w:highlight w:val="yellow"/>
        </w:rPr>
        <w:t>melder</w:t>
      </w:r>
      <w:r>
        <w:t xml:space="preserve"> dat binnen de organisatie waarin hij werkt of heeft gewerkt of bij een andere organisatie indien hij door zijn werkzaamheden met die organisatie in aanraking is gekomen, sprake is van een misstand voor zover het vermoeden gebaseerd is op redelijke gronden</w:t>
      </w:r>
      <w:r>
        <w:rPr>
          <w:rStyle w:val="Voetnootmarkering"/>
        </w:rPr>
        <w:footnoteReference w:id="15"/>
      </w:r>
      <w:r>
        <w:t xml:space="preserve">, die voortvloeien uit de kennis die de </w:t>
      </w:r>
      <w:r w:rsidRPr="001C38F6">
        <w:rPr>
          <w:highlight w:val="yellow"/>
        </w:rPr>
        <w:t>melder</w:t>
      </w:r>
      <w:r>
        <w:t xml:space="preserve"> bij zijn werkgever heeft opgedaan of voortvloeien uit de kennis die de </w:t>
      </w:r>
      <w:r w:rsidRPr="001C38F6">
        <w:rPr>
          <w:highlight w:val="yellow"/>
        </w:rPr>
        <w:t>melder</w:t>
      </w:r>
      <w:r>
        <w:t xml:space="preserve"> heeft gekregen door zijn werkzaamheden bij een ander bedrijf of een andere organisatie;</w:t>
      </w:r>
    </w:p>
    <w:p w14:paraId="56135FAB" w14:textId="77777777" w:rsidR="00F1552D" w:rsidRDefault="00F1552D" w:rsidP="00F1552D">
      <w:pPr>
        <w:numPr>
          <w:ilvl w:val="1"/>
          <w:numId w:val="1"/>
        </w:numPr>
        <w:ind w:hanging="360"/>
      </w:pPr>
      <w:r>
        <w:rPr>
          <w:b/>
        </w:rPr>
        <w:t>vertrouwenspersoon</w:t>
      </w:r>
      <w:r>
        <w:t>: degene die door de werkgever is aangewezen om als zodanig voor de organisatie van de werkgever te fungeren</w:t>
      </w:r>
      <w:r>
        <w:rPr>
          <w:rStyle w:val="Voetnootmarkering"/>
        </w:rPr>
        <w:footnoteReference w:id="16"/>
      </w:r>
      <w:r>
        <w:t>;</w:t>
      </w:r>
    </w:p>
    <w:p w14:paraId="4F9ABB13" w14:textId="1DFD47EE" w:rsidR="004E4029" w:rsidRDefault="00A510C6" w:rsidP="004E4029">
      <w:pPr>
        <w:numPr>
          <w:ilvl w:val="1"/>
          <w:numId w:val="1"/>
        </w:numPr>
        <w:ind w:hanging="360"/>
      </w:pPr>
      <w:r w:rsidRPr="004E4029">
        <w:rPr>
          <w:b/>
        </w:rPr>
        <w:t>werkgever</w:t>
      </w:r>
      <w:r>
        <w:t xml:space="preserve">: </w:t>
      </w:r>
      <w:r w:rsidRPr="004E4029">
        <w:rPr>
          <w:b/>
        </w:rPr>
        <w:t>[naam werkgever]</w:t>
      </w:r>
      <w:r>
        <w:t>, welke krachtens arbeidsovereenkomst naar burgerlijk recht arbeid laat verrichten of heeft laten verrichten dan wel anders dan uit dienstbetrekking arbeid laat verrichten of heeft laten verrichten;</w:t>
      </w:r>
    </w:p>
    <w:p w14:paraId="328C4A8D" w14:textId="7F0B1F79" w:rsidR="008C7DFA" w:rsidRPr="00695B39" w:rsidRDefault="008C7DFA" w:rsidP="008C7DFA">
      <w:pPr>
        <w:numPr>
          <w:ilvl w:val="1"/>
          <w:numId w:val="1"/>
        </w:numPr>
        <w:ind w:hanging="360"/>
        <w:rPr>
          <w:highlight w:val="yellow"/>
        </w:rPr>
      </w:pPr>
      <w:r w:rsidRPr="00695B39">
        <w:rPr>
          <w:b/>
          <w:bCs/>
          <w:highlight w:val="yellow"/>
        </w:rPr>
        <w:t>werkgerelateerde context</w:t>
      </w:r>
      <w:r w:rsidRPr="00695B39">
        <w:rPr>
          <w:highlight w:val="yellow"/>
        </w:rPr>
        <w:t>: toekomstige, huidige of vroegere werkgerelateerde activiteiten in de publieke of private sector waardoor, ongeacht de aard van die werkzaamheden, personen informatie kunnen verkrijgen over misstanden en waarbij die personen te maken kunnen krijgen met benadeling indien zij dergelijke informatie zouden melden;</w:t>
      </w:r>
      <w:r w:rsidRPr="00695B39">
        <w:rPr>
          <w:rStyle w:val="Voetnootmarkering"/>
          <w:highlight w:val="yellow"/>
        </w:rPr>
        <w:footnoteReference w:id="17"/>
      </w:r>
    </w:p>
    <w:p w14:paraId="549FDC79" w14:textId="36FCB34F" w:rsidR="00F1552D" w:rsidRDefault="00F1552D" w:rsidP="00F1552D">
      <w:pPr>
        <w:numPr>
          <w:ilvl w:val="1"/>
          <w:numId w:val="1"/>
        </w:numPr>
        <w:ind w:hanging="360"/>
      </w:pPr>
      <w:r>
        <w:rPr>
          <w:b/>
        </w:rPr>
        <w:t>werknemer</w:t>
      </w:r>
      <w:r>
        <w:t>: degene die krachtens arbeidsovereenkomst naar burgerlijk recht arbeid verricht dan wel degene die  a</w:t>
      </w:r>
      <w:bookmarkStart w:id="4" w:name="_Hlk129360069"/>
      <w:r>
        <w:t>nderszins in een ondergeschiktheidsrelatie tegen een vergoeding arbeid verricht</w:t>
      </w:r>
      <w:bookmarkEnd w:id="4"/>
      <w:r>
        <w:rPr>
          <w:rStyle w:val="Voetnootmarkering"/>
        </w:rPr>
        <w:footnoteReference w:id="18"/>
      </w:r>
      <w:r w:rsidR="005C2394">
        <w:t>.</w:t>
      </w:r>
      <w:r>
        <w:t xml:space="preserve"> </w:t>
      </w:r>
    </w:p>
    <w:p w14:paraId="6F6067BF" w14:textId="77777777" w:rsidR="00613559" w:rsidRDefault="00A510C6">
      <w:pPr>
        <w:numPr>
          <w:ilvl w:val="0"/>
          <w:numId w:val="1"/>
        </w:numPr>
        <w:ind w:hanging="360"/>
      </w:pPr>
      <w:r>
        <w:t xml:space="preserve">Daar waar in deze regeling de hij-vorm wordt gebruikt, dient mede de zij-vorm te worden gelezen. </w:t>
      </w:r>
    </w:p>
    <w:p w14:paraId="607906D7" w14:textId="77777777" w:rsidR="00613559" w:rsidRDefault="00A510C6">
      <w:pPr>
        <w:spacing w:after="33" w:line="259" w:lineRule="auto"/>
        <w:ind w:left="0" w:firstLine="0"/>
      </w:pPr>
      <w:r>
        <w:t xml:space="preserve"> </w:t>
      </w:r>
    </w:p>
    <w:p w14:paraId="1E085B12" w14:textId="6120D9A5" w:rsidR="00613559" w:rsidRPr="00216058" w:rsidRDefault="00A510C6">
      <w:pPr>
        <w:pStyle w:val="Kop1"/>
        <w:ind w:left="-5"/>
        <w:rPr>
          <w:i/>
          <w:color w:val="FF0000"/>
        </w:rPr>
      </w:pPr>
      <w:r>
        <w:t xml:space="preserve">Artikel 2. Informatie, advies en ondersteuning voor de werknemer </w:t>
      </w:r>
    </w:p>
    <w:p w14:paraId="419A89C5" w14:textId="7769B5C6" w:rsidR="00613559" w:rsidRDefault="00A510C6">
      <w:pPr>
        <w:numPr>
          <w:ilvl w:val="0"/>
          <w:numId w:val="3"/>
        </w:numPr>
        <w:ind w:hanging="360"/>
      </w:pPr>
      <w:r>
        <w:t xml:space="preserve">Een werknemer kan een adviseur in vertrouwen raadplegen over een vermoeden van een </w:t>
      </w:r>
      <w:r w:rsidR="00C72480" w:rsidRPr="00D51212">
        <w:rPr>
          <w:i/>
          <w:iCs/>
        </w:rPr>
        <w:t>integriteitsschending en/of onregelmatigheid en/of</w:t>
      </w:r>
      <w:r w:rsidR="00C72480">
        <w:t xml:space="preserve"> </w:t>
      </w:r>
      <w:r>
        <w:t xml:space="preserve">misstand.  </w:t>
      </w:r>
    </w:p>
    <w:p w14:paraId="60A4284D" w14:textId="37F4082E" w:rsidR="00613559" w:rsidRDefault="00A510C6">
      <w:pPr>
        <w:numPr>
          <w:ilvl w:val="0"/>
          <w:numId w:val="3"/>
        </w:numPr>
        <w:ind w:hanging="360"/>
      </w:pPr>
      <w:r>
        <w:t>In overeenstemming met lid 1 kan de werknemer de vertrouwenspersoon verzoeken om informatie, advies en ondersteun</w:t>
      </w:r>
      <w:r w:rsidR="00C72480">
        <w:t xml:space="preserve">ing inzake het vermoeden van een </w:t>
      </w:r>
      <w:r w:rsidR="00C72480" w:rsidRPr="00D51212">
        <w:rPr>
          <w:i/>
          <w:iCs/>
        </w:rPr>
        <w:t>integriteitsschending en/of onregelmatigheid en/of</w:t>
      </w:r>
      <w:r w:rsidR="00C72480">
        <w:t xml:space="preserve"> misstand</w:t>
      </w:r>
      <w:r>
        <w:t xml:space="preserve">.  </w:t>
      </w:r>
    </w:p>
    <w:p w14:paraId="14AAF4BB" w14:textId="444A869A" w:rsidR="00613559" w:rsidRDefault="00A510C6">
      <w:pPr>
        <w:numPr>
          <w:ilvl w:val="0"/>
          <w:numId w:val="3"/>
        </w:numPr>
        <w:ind w:hanging="360"/>
      </w:pPr>
      <w:r>
        <w:t xml:space="preserve">In overeenstemming met lid 1 kan de werknemer ook de afdeling advies van het Huis voor Klokkenluiders verzoeken om informatie, advies en ondersteuning inzake het vermoeden van een </w:t>
      </w:r>
      <w:r w:rsidR="00C72480">
        <w:t xml:space="preserve">misstand. </w:t>
      </w:r>
      <w:r>
        <w:t xml:space="preserve"> </w:t>
      </w:r>
    </w:p>
    <w:p w14:paraId="7D7B6CD7" w14:textId="77777777" w:rsidR="00613559" w:rsidRDefault="00A510C6">
      <w:pPr>
        <w:spacing w:after="34" w:line="259" w:lineRule="auto"/>
        <w:ind w:left="0" w:firstLine="0"/>
      </w:pPr>
      <w:r>
        <w:lastRenderedPageBreak/>
        <w:t xml:space="preserve"> </w:t>
      </w:r>
    </w:p>
    <w:p w14:paraId="030B7C2E" w14:textId="386444D1" w:rsidR="00613559" w:rsidRPr="00F92342" w:rsidRDefault="00A510C6">
      <w:pPr>
        <w:pStyle w:val="Kop1"/>
        <w:ind w:left="-5"/>
        <w:rPr>
          <w:i/>
          <w:color w:val="FF0000"/>
        </w:rPr>
      </w:pPr>
      <w:r>
        <w:t xml:space="preserve">Artikel 3. </w:t>
      </w:r>
      <w:r w:rsidR="00274901">
        <w:t>M</w:t>
      </w:r>
      <w:r>
        <w:t xml:space="preserve">elding </w:t>
      </w:r>
      <w:r w:rsidR="00274901">
        <w:t>van een vermoeden van een misstand</w:t>
      </w:r>
      <w:r>
        <w:t xml:space="preserve"> </w:t>
      </w:r>
    </w:p>
    <w:p w14:paraId="6CA52129" w14:textId="67F89269" w:rsidR="00AB123B" w:rsidRPr="00D43B85" w:rsidRDefault="00274901" w:rsidP="00F960DD">
      <w:pPr>
        <w:numPr>
          <w:ilvl w:val="0"/>
          <w:numId w:val="4"/>
        </w:numPr>
        <w:ind w:hanging="360"/>
        <w:rPr>
          <w:highlight w:val="yellow"/>
        </w:rPr>
      </w:pPr>
      <w:bookmarkStart w:id="5" w:name="_Hlk126272275"/>
      <w:r w:rsidRPr="00D43B85">
        <w:rPr>
          <w:szCs w:val="20"/>
          <w:highlight w:val="yellow"/>
          <w:u w:color="000000"/>
        </w:rPr>
        <w:t>Een</w:t>
      </w:r>
      <w:r w:rsidR="00325006">
        <w:rPr>
          <w:szCs w:val="20"/>
          <w:highlight w:val="yellow"/>
          <w:u w:color="000000"/>
        </w:rPr>
        <w:t xml:space="preserve"> </w:t>
      </w:r>
      <w:r w:rsidR="00325006" w:rsidRPr="00325006">
        <w:rPr>
          <w:color w:val="000000" w:themeColor="text1"/>
          <w:szCs w:val="20"/>
          <w:highlight w:val="yellow"/>
          <w:u w:color="000000"/>
        </w:rPr>
        <w:t xml:space="preserve">werknemer met een vermoeden van een misstand of integriteitsschending binnen de organisatie van </w:t>
      </w:r>
      <w:r w:rsidR="00353380">
        <w:rPr>
          <w:color w:val="000000" w:themeColor="text1"/>
          <w:szCs w:val="20"/>
          <w:highlight w:val="yellow"/>
          <w:u w:color="000000"/>
        </w:rPr>
        <w:t>de</w:t>
      </w:r>
      <w:r w:rsidR="00325006" w:rsidRPr="00325006">
        <w:rPr>
          <w:color w:val="000000" w:themeColor="text1"/>
          <w:szCs w:val="20"/>
          <w:highlight w:val="yellow"/>
          <w:u w:color="000000"/>
        </w:rPr>
        <w:t xml:space="preserve"> werkgever </w:t>
      </w:r>
      <w:r w:rsidR="00325006">
        <w:rPr>
          <w:szCs w:val="20"/>
          <w:highlight w:val="yellow"/>
          <w:u w:color="000000"/>
        </w:rPr>
        <w:t xml:space="preserve">kan een </w:t>
      </w:r>
      <w:r w:rsidRPr="00D43B85">
        <w:rPr>
          <w:szCs w:val="20"/>
          <w:highlight w:val="yellow"/>
          <w:u w:color="000000"/>
        </w:rPr>
        <w:t xml:space="preserve">vermoeden van een misstand </w:t>
      </w:r>
      <w:r w:rsidR="00325006">
        <w:rPr>
          <w:szCs w:val="20"/>
          <w:highlight w:val="yellow"/>
          <w:u w:color="000000"/>
        </w:rPr>
        <w:t>melden bi</w:t>
      </w:r>
      <w:r w:rsidR="00E613DF" w:rsidRPr="00D43B85">
        <w:rPr>
          <w:szCs w:val="20"/>
          <w:highlight w:val="yellow"/>
          <w:u w:color="000000"/>
        </w:rPr>
        <w:t xml:space="preserve">j de </w:t>
      </w:r>
      <w:r w:rsidR="003177AE" w:rsidRPr="00D43B85">
        <w:rPr>
          <w:szCs w:val="20"/>
          <w:highlight w:val="yellow"/>
          <w:u w:color="000000"/>
        </w:rPr>
        <w:t>externe vertrouwenspersoon</w:t>
      </w:r>
      <w:r w:rsidR="00E613DF" w:rsidRPr="00D43B85">
        <w:rPr>
          <w:szCs w:val="20"/>
          <w:highlight w:val="yellow"/>
          <w:u w:color="000000"/>
        </w:rPr>
        <w:t xml:space="preserve">. </w:t>
      </w:r>
      <w:r w:rsidR="005367A6" w:rsidRPr="00D43B85">
        <w:rPr>
          <w:szCs w:val="20"/>
          <w:highlight w:val="yellow"/>
          <w:u w:color="000000"/>
        </w:rPr>
        <w:t xml:space="preserve">De externe vertrouwenspersoon </w:t>
      </w:r>
      <w:r w:rsidR="00F960DD" w:rsidRPr="00D43B85">
        <w:rPr>
          <w:szCs w:val="20"/>
          <w:highlight w:val="yellow"/>
          <w:u w:color="000000"/>
        </w:rPr>
        <w:t>geeft</w:t>
      </w:r>
      <w:r w:rsidR="005367A6" w:rsidRPr="00D43B85">
        <w:rPr>
          <w:szCs w:val="20"/>
          <w:highlight w:val="yellow"/>
          <w:u w:color="000000"/>
        </w:rPr>
        <w:t xml:space="preserve"> </w:t>
      </w:r>
      <w:r w:rsidR="00F215E6" w:rsidRPr="00D43B85">
        <w:rPr>
          <w:szCs w:val="20"/>
          <w:highlight w:val="yellow"/>
          <w:u w:color="000000"/>
        </w:rPr>
        <w:t>zorgvuldige opvolging geven aan die melding.</w:t>
      </w:r>
    </w:p>
    <w:bookmarkEnd w:id="5"/>
    <w:p w14:paraId="6AA79ECA" w14:textId="533CFDD5" w:rsidR="00613559" w:rsidRDefault="00A510C6">
      <w:pPr>
        <w:numPr>
          <w:ilvl w:val="0"/>
          <w:numId w:val="4"/>
        </w:numPr>
        <w:ind w:hanging="360"/>
      </w:pPr>
      <w:r>
        <w:t xml:space="preserve">Een werknemer </w:t>
      </w:r>
      <w:bookmarkStart w:id="6" w:name="_Hlk130193047"/>
      <w:r>
        <w:t xml:space="preserve">met een vermoeden van een misstand </w:t>
      </w:r>
      <w:r w:rsidRPr="00791688">
        <w:rPr>
          <w:i/>
        </w:rPr>
        <w:t xml:space="preserve">of </w:t>
      </w:r>
      <w:r w:rsidR="00DB34AC" w:rsidRPr="00DB34AC">
        <w:rPr>
          <w:i/>
        </w:rPr>
        <w:t>integriteitsschending</w:t>
      </w:r>
      <w:r w:rsidR="00DB34AC">
        <w:t xml:space="preserve"> </w:t>
      </w:r>
      <w:r>
        <w:t xml:space="preserve">binnen de organisatie van </w:t>
      </w:r>
      <w:r w:rsidR="00353380">
        <w:t>de</w:t>
      </w:r>
      <w:r>
        <w:t xml:space="preserve"> werkgever </w:t>
      </w:r>
      <w:bookmarkEnd w:id="6"/>
      <w:r>
        <w:t xml:space="preserve">kan daarvan </w:t>
      </w:r>
      <w:r w:rsidR="00AB123B">
        <w:t xml:space="preserve">ook </w:t>
      </w:r>
      <w:r>
        <w:t xml:space="preserve">melding doen bij iedere leidinggevende die binnen de organisatie hiërarchisch een hogere positie bekleedt dan hij. Indien de werknemer een redelijk vermoeden heeft dat de hoogste leidinggevende bij de vermoede misstand </w:t>
      </w:r>
      <w:r w:rsidRPr="00791688">
        <w:rPr>
          <w:i/>
        </w:rPr>
        <w:t>of onregelmatigheid</w:t>
      </w:r>
      <w:r>
        <w:t xml:space="preserve"> betrokken is, kan hij de melding ook bij het interne toezichtsorgaan doen. In dat geval dient in deze regeling voor “de hoogste leidinggevende”. </w:t>
      </w:r>
    </w:p>
    <w:p w14:paraId="626FC0CF" w14:textId="65E2A66D" w:rsidR="000629EA" w:rsidRDefault="00A510C6" w:rsidP="00F4398D">
      <w:pPr>
        <w:numPr>
          <w:ilvl w:val="0"/>
          <w:numId w:val="4"/>
        </w:numPr>
        <w:ind w:hanging="360"/>
      </w:pPr>
      <w:r>
        <w:t xml:space="preserve">De werknemer kan het vermoeden van een misstand </w:t>
      </w:r>
      <w:r w:rsidRPr="00791688">
        <w:rPr>
          <w:i/>
        </w:rPr>
        <w:t xml:space="preserve">of </w:t>
      </w:r>
      <w:r w:rsidR="00DB34AC" w:rsidRPr="00DB34AC">
        <w:rPr>
          <w:i/>
        </w:rPr>
        <w:t>integriteitsschending</w:t>
      </w:r>
      <w:r w:rsidR="00DB34AC">
        <w:t xml:space="preserve"> </w:t>
      </w:r>
      <w:r>
        <w:t xml:space="preserve">binnen de organisatie van </w:t>
      </w:r>
      <w:r w:rsidR="00353380">
        <w:t>de</w:t>
      </w:r>
      <w:r>
        <w:t xml:space="preserve"> werkgever ook melden via de vertrouwenspersoon. De vertrouwenspersoon stuurt de melding, in overleg met de werknemer, door naar </w:t>
      </w:r>
      <w:r w:rsidR="00DB34AC">
        <w:t xml:space="preserve">de hoogste leidinggevende </w:t>
      </w:r>
      <w:r>
        <w:t xml:space="preserve">als bedoeld in het vorige lid, respectievelijk het interne toezichtsorgaan. </w:t>
      </w:r>
    </w:p>
    <w:p w14:paraId="15039B3C" w14:textId="7F60B8E9" w:rsidR="00F4398D" w:rsidRPr="00D43B85" w:rsidRDefault="00F4398D" w:rsidP="000629EA">
      <w:pPr>
        <w:numPr>
          <w:ilvl w:val="0"/>
          <w:numId w:val="4"/>
        </w:numPr>
        <w:ind w:hanging="360"/>
        <w:rPr>
          <w:highlight w:val="yellow"/>
        </w:rPr>
      </w:pPr>
      <w:r w:rsidRPr="00D43B85">
        <w:rPr>
          <w:highlight w:val="yellow"/>
        </w:rPr>
        <w:t>Een werknemer kan in ieder geval op de volgende wijze een melding doen:</w:t>
      </w:r>
    </w:p>
    <w:p w14:paraId="466708F7" w14:textId="3A320B22" w:rsidR="00F4398D" w:rsidRPr="00D43B85" w:rsidRDefault="00F4398D" w:rsidP="00F4398D">
      <w:pPr>
        <w:ind w:left="720" w:firstLine="0"/>
        <w:rPr>
          <w:highlight w:val="yellow"/>
        </w:rPr>
      </w:pPr>
      <w:r w:rsidRPr="00D43B85">
        <w:rPr>
          <w:highlight w:val="yellow"/>
        </w:rPr>
        <w:t xml:space="preserve">1°. </w:t>
      </w:r>
      <w:r w:rsidR="00A623DF" w:rsidRPr="00D43B85">
        <w:rPr>
          <w:highlight w:val="yellow"/>
        </w:rPr>
        <w:t>S</w:t>
      </w:r>
      <w:r w:rsidRPr="00D43B85">
        <w:rPr>
          <w:highlight w:val="yellow"/>
        </w:rPr>
        <w:t>chriftelijk;</w:t>
      </w:r>
    </w:p>
    <w:p w14:paraId="57EDD211" w14:textId="727E9B83" w:rsidR="00F4398D" w:rsidRPr="00D43B85" w:rsidRDefault="00F4398D" w:rsidP="00F4398D">
      <w:pPr>
        <w:ind w:left="720" w:firstLine="0"/>
        <w:rPr>
          <w:highlight w:val="yellow"/>
        </w:rPr>
      </w:pPr>
      <w:r w:rsidRPr="00D43B85">
        <w:rPr>
          <w:highlight w:val="yellow"/>
        </w:rPr>
        <w:t xml:space="preserve">2°. </w:t>
      </w:r>
      <w:r w:rsidR="00A623DF" w:rsidRPr="00D43B85">
        <w:rPr>
          <w:highlight w:val="yellow"/>
        </w:rPr>
        <w:t>M</w:t>
      </w:r>
      <w:r w:rsidRPr="00D43B85">
        <w:rPr>
          <w:highlight w:val="yellow"/>
        </w:rPr>
        <w:t>ondeling via de telefoon of andere spraakberichtsystemen, of</w:t>
      </w:r>
    </w:p>
    <w:p w14:paraId="59B7FED1" w14:textId="51C801CC" w:rsidR="00F4398D" w:rsidRDefault="00F4398D" w:rsidP="00F4398D">
      <w:pPr>
        <w:ind w:left="720" w:firstLine="0"/>
      </w:pPr>
      <w:r w:rsidRPr="00D43B85">
        <w:rPr>
          <w:highlight w:val="yellow"/>
        </w:rPr>
        <w:t xml:space="preserve">3°. </w:t>
      </w:r>
      <w:r w:rsidR="00A623DF" w:rsidRPr="00D43B85">
        <w:rPr>
          <w:highlight w:val="yellow"/>
        </w:rPr>
        <w:t>O</w:t>
      </w:r>
      <w:r w:rsidRPr="00D43B85">
        <w:rPr>
          <w:highlight w:val="yellow"/>
        </w:rPr>
        <w:t>p zijn verzoek binnen een redelijke termijn door middel van een gesprek op een locatie.</w:t>
      </w:r>
    </w:p>
    <w:p w14:paraId="0BB8DEF0" w14:textId="22812CBE" w:rsidR="00564880" w:rsidRPr="00564880" w:rsidRDefault="00564880" w:rsidP="000629EA">
      <w:pPr>
        <w:numPr>
          <w:ilvl w:val="0"/>
          <w:numId w:val="4"/>
        </w:numPr>
        <w:ind w:hanging="360"/>
        <w:rPr>
          <w:highlight w:val="yellow"/>
        </w:rPr>
      </w:pPr>
      <w:r w:rsidRPr="00564880">
        <w:rPr>
          <w:highlight w:val="yellow"/>
        </w:rPr>
        <w:t>De werkgever registreert een melding bij de ontvangst ervan in een daarvoor ingericht register.</w:t>
      </w:r>
    </w:p>
    <w:p w14:paraId="43AE3570" w14:textId="77777777" w:rsidR="00613559" w:rsidRDefault="00A510C6">
      <w:pPr>
        <w:spacing w:after="33" w:line="259" w:lineRule="auto"/>
        <w:ind w:left="0" w:firstLine="0"/>
      </w:pPr>
      <w:r>
        <w:t xml:space="preserve"> </w:t>
      </w:r>
    </w:p>
    <w:p w14:paraId="0D44DA3D" w14:textId="431784EE" w:rsidR="00613559" w:rsidRDefault="00A510C6">
      <w:pPr>
        <w:pStyle w:val="Kop1"/>
        <w:ind w:left="-5"/>
      </w:pPr>
      <w:r>
        <w:t xml:space="preserve">Artikel 4. Interne melding door een </w:t>
      </w:r>
      <w:r w:rsidR="00200887">
        <w:t>persoon die geen werknemer van de werkgever is</w:t>
      </w:r>
      <w:r>
        <w:t xml:space="preserve"> </w:t>
      </w:r>
    </w:p>
    <w:p w14:paraId="257513C1" w14:textId="34F316E1" w:rsidR="00613559" w:rsidRDefault="00A510C6">
      <w:pPr>
        <w:numPr>
          <w:ilvl w:val="0"/>
          <w:numId w:val="5"/>
        </w:numPr>
        <w:ind w:hanging="360"/>
      </w:pPr>
      <w:r>
        <w:t xml:space="preserve">Een </w:t>
      </w:r>
      <w:r w:rsidR="00200887" w:rsidRPr="00200887">
        <w:t xml:space="preserve">natuurlijke persoon die in de context van zijn werkgerelateerde activiteiten </w:t>
      </w:r>
      <w:r>
        <w:t xml:space="preserve">met de organisatie van de werkgever in aanraking is gekomen, en een vermoeden heeft van een misstand binnen de organisatie van de werkgever kan daarvan melding doen bij </w:t>
      </w:r>
      <w:r w:rsidR="00E4006B" w:rsidRPr="00D43B85">
        <w:rPr>
          <w:highlight w:val="yellow"/>
        </w:rPr>
        <w:t>de externe vertrouwenspersoon en bij</w:t>
      </w:r>
      <w:r w:rsidR="00E4006B">
        <w:t xml:space="preserve"> </w:t>
      </w:r>
      <w:r>
        <w:t xml:space="preserve">iedere leidinggevende die binnen de organisatie van de werkgever hiërarchisch een gelijke of een hogere positie bekleedt dan hij. Indien de </w:t>
      </w:r>
      <w:r w:rsidR="00200887">
        <w:t>melder</w:t>
      </w:r>
      <w:r>
        <w:t xml:space="preserve"> een redelijk vermoeden heeft dat de hoogste leidinggevende bij de vermoede misstand betrokken is, kan hij de melding ook bij </w:t>
      </w:r>
      <w:r w:rsidR="00F92342">
        <w:t xml:space="preserve">de </w:t>
      </w:r>
      <w:r w:rsidR="00DB34AC">
        <w:t>hoogst verantwoordelijke</w:t>
      </w:r>
      <w:r>
        <w:t xml:space="preserve"> doen</w:t>
      </w:r>
      <w:r w:rsidR="00DB34AC">
        <w:t xml:space="preserve">. </w:t>
      </w:r>
      <w:r>
        <w:t xml:space="preserve"> </w:t>
      </w:r>
    </w:p>
    <w:p w14:paraId="1783926E" w14:textId="56D0C7E8" w:rsidR="00613559" w:rsidRDefault="00A510C6">
      <w:pPr>
        <w:numPr>
          <w:ilvl w:val="0"/>
          <w:numId w:val="5"/>
        </w:numPr>
        <w:ind w:hanging="360"/>
      </w:pPr>
      <w:r>
        <w:t xml:space="preserve">De </w:t>
      </w:r>
      <w:r w:rsidR="00143E99">
        <w:t xml:space="preserve">melder </w:t>
      </w:r>
      <w:r>
        <w:t xml:space="preserve">kan het vermoeden van een misstand binnen de organisatie van de werkgever ook melden via de vertrouwenspersoon. De vertrouwenspersoon stuurt de melding, in overleg met de </w:t>
      </w:r>
      <w:r w:rsidR="00143E99">
        <w:t>melder</w:t>
      </w:r>
      <w:r>
        <w:t xml:space="preserve">, door naar </w:t>
      </w:r>
      <w:r w:rsidR="00DB34AC">
        <w:t xml:space="preserve">de hoogst </w:t>
      </w:r>
      <w:r>
        <w:t xml:space="preserve">leidinggevende. </w:t>
      </w:r>
    </w:p>
    <w:p w14:paraId="2D954C18" w14:textId="77777777" w:rsidR="00613559" w:rsidRDefault="00A510C6">
      <w:pPr>
        <w:spacing w:after="34" w:line="259" w:lineRule="auto"/>
        <w:ind w:left="0" w:firstLine="0"/>
      </w:pPr>
      <w:r>
        <w:rPr>
          <w:b/>
        </w:rPr>
        <w:t xml:space="preserve"> </w:t>
      </w:r>
    </w:p>
    <w:p w14:paraId="53950F28" w14:textId="3A4366E4" w:rsidR="00613559" w:rsidRPr="00F960DD" w:rsidRDefault="00A510C6" w:rsidP="0061491C">
      <w:pPr>
        <w:pStyle w:val="Kop1"/>
        <w:ind w:left="-5"/>
      </w:pPr>
      <w:r w:rsidRPr="00F960DD">
        <w:t xml:space="preserve">Artikel 5. Bescherming van de melder tegen benadeling </w:t>
      </w:r>
    </w:p>
    <w:p w14:paraId="18735497" w14:textId="52F57F4F" w:rsidR="00613559" w:rsidRPr="00F960DD" w:rsidRDefault="00A510C6" w:rsidP="00695B39">
      <w:pPr>
        <w:pStyle w:val="Lijstalinea"/>
        <w:numPr>
          <w:ilvl w:val="0"/>
          <w:numId w:val="6"/>
        </w:numPr>
        <w:ind w:hanging="360"/>
      </w:pPr>
      <w:r w:rsidRPr="00F960DD">
        <w:t>De werkgever zal de melder</w:t>
      </w:r>
      <w:r w:rsidR="000D5390" w:rsidRPr="00F960DD">
        <w:t>,</w:t>
      </w:r>
      <w:r w:rsidRPr="00F960DD">
        <w:t xml:space="preserve"> </w:t>
      </w:r>
      <w:r w:rsidR="000D5390" w:rsidRPr="00695B39">
        <w:rPr>
          <w:highlight w:val="yellow"/>
        </w:rPr>
        <w:t xml:space="preserve">degene die de melder bijstaat, een betrokken derde of een </w:t>
      </w:r>
      <w:r w:rsidR="00A349EF" w:rsidRPr="00695B39">
        <w:rPr>
          <w:highlight w:val="yellow"/>
        </w:rPr>
        <w:t xml:space="preserve">onafhankelijke </w:t>
      </w:r>
      <w:r w:rsidR="000D5390" w:rsidRPr="00695B39">
        <w:rPr>
          <w:highlight w:val="yellow"/>
        </w:rPr>
        <w:t>functionaris</w:t>
      </w:r>
      <w:r w:rsidR="00891107" w:rsidRPr="00F960DD">
        <w:t xml:space="preserve"> </w:t>
      </w:r>
      <w:r w:rsidRPr="00F960DD">
        <w:t>niet benadelen in verband met het te goeder</w:t>
      </w:r>
      <w:r>
        <w:t xml:space="preserve"> trouw en naar behoren melden van een vermoeden van een misstand </w:t>
      </w:r>
      <w:r w:rsidRPr="00F960DD">
        <w:rPr>
          <w:i/>
        </w:rPr>
        <w:t>of onregelmatigheid</w:t>
      </w:r>
      <w:r>
        <w:t xml:space="preserve"> </w:t>
      </w:r>
      <w:r w:rsidR="004208B0">
        <w:t>aan</w:t>
      </w:r>
      <w:r>
        <w:t xml:space="preserve"> de werkgever, </w:t>
      </w:r>
      <w:r w:rsidR="00512661" w:rsidRPr="00695B39">
        <w:rPr>
          <w:highlight w:val="yellow"/>
        </w:rPr>
        <w:t>aan</w:t>
      </w:r>
      <w:r w:rsidR="00512661">
        <w:t xml:space="preserve"> </w:t>
      </w:r>
      <w:r w:rsidRPr="00EE6C51">
        <w:t xml:space="preserve">een </w:t>
      </w:r>
      <w:r w:rsidR="00AC24EC" w:rsidRPr="00695B39">
        <w:rPr>
          <w:highlight w:val="yellow"/>
        </w:rPr>
        <w:t xml:space="preserve">bevoegde autoriteit of </w:t>
      </w:r>
      <w:r w:rsidR="00A82BDC" w:rsidRPr="00695B39">
        <w:rPr>
          <w:highlight w:val="yellow"/>
        </w:rPr>
        <w:t xml:space="preserve">aan </w:t>
      </w:r>
      <w:r w:rsidR="00AC24EC" w:rsidRPr="00695B39">
        <w:rPr>
          <w:highlight w:val="yellow"/>
        </w:rPr>
        <w:t xml:space="preserve">een bestuursorgaan, </w:t>
      </w:r>
      <w:r w:rsidR="00A82BDC" w:rsidRPr="00695B39">
        <w:rPr>
          <w:highlight w:val="yellow"/>
        </w:rPr>
        <w:t>instellingen</w:t>
      </w:r>
      <w:r w:rsidR="00520CDD" w:rsidRPr="00695B39">
        <w:rPr>
          <w:highlight w:val="yellow"/>
        </w:rPr>
        <w:t xml:space="preserve"> of</w:t>
      </w:r>
      <w:r w:rsidR="00A82BDC" w:rsidRPr="00695B39">
        <w:rPr>
          <w:highlight w:val="yellow"/>
        </w:rPr>
        <w:t xml:space="preserve"> instanties van de Europese Unie</w:t>
      </w:r>
      <w:r w:rsidR="009D03D2">
        <w:t>,</w:t>
      </w:r>
      <w:r w:rsidR="009D03D2" w:rsidRPr="009D03D2">
        <w:rPr>
          <w:highlight w:val="yellow"/>
        </w:rPr>
        <w:t xml:space="preserve"> </w:t>
      </w:r>
      <w:r w:rsidR="009D03D2" w:rsidRPr="00BF4DCD">
        <w:rPr>
          <w:highlight w:val="yellow"/>
        </w:rPr>
        <w:t xml:space="preserve">of </w:t>
      </w:r>
      <w:r w:rsidR="009D03D2">
        <w:rPr>
          <w:highlight w:val="yellow"/>
        </w:rPr>
        <w:t xml:space="preserve">in verband met het </w:t>
      </w:r>
      <w:r w:rsidR="009D03D2" w:rsidRPr="00BF4DCD">
        <w:rPr>
          <w:highlight w:val="yellow"/>
        </w:rPr>
        <w:t>openbaar maken van d</w:t>
      </w:r>
      <w:r w:rsidR="009D03D2">
        <w:rPr>
          <w:highlight w:val="yellow"/>
        </w:rPr>
        <w:t>i</w:t>
      </w:r>
      <w:r w:rsidR="009D03D2" w:rsidRPr="00BF4DCD">
        <w:rPr>
          <w:highlight w:val="yellow"/>
        </w:rPr>
        <w:t>e melding</w:t>
      </w:r>
      <w:r w:rsidR="009D03D2">
        <w:rPr>
          <w:highlight w:val="yellow"/>
        </w:rPr>
        <w:t>.</w:t>
      </w:r>
      <w:r w:rsidR="009D03D2">
        <w:t xml:space="preserve"> </w:t>
      </w:r>
      <w:r w:rsidRPr="005375E5">
        <w:t>.</w:t>
      </w:r>
      <w:r w:rsidR="00CC70A6" w:rsidRPr="005375E5">
        <w:rPr>
          <w:rStyle w:val="Voetnootmarkering"/>
        </w:rPr>
        <w:footnoteReference w:id="19"/>
      </w:r>
      <w:r w:rsidRPr="005375E5">
        <w:t xml:space="preserve"> </w:t>
      </w:r>
    </w:p>
    <w:p w14:paraId="1B80DD47" w14:textId="43B6B906" w:rsidR="00613559" w:rsidRDefault="00A510C6" w:rsidP="008945D1">
      <w:pPr>
        <w:numPr>
          <w:ilvl w:val="0"/>
          <w:numId w:val="6"/>
        </w:numPr>
        <w:ind w:hanging="360"/>
      </w:pPr>
      <w:r>
        <w:t xml:space="preserve">Onder benadeling als bedoeld in lid 1 wordt </w:t>
      </w:r>
      <w:r w:rsidR="00877F6F">
        <w:t>mede</w:t>
      </w:r>
      <w:r w:rsidR="00BE01E7">
        <w:rPr>
          <w:rStyle w:val="Voetnootmarkering"/>
        </w:rPr>
        <w:footnoteReference w:id="20"/>
      </w:r>
      <w:r>
        <w:t xml:space="preserve"> verstaan het nemen van een benadelende maatregel, zoals: </w:t>
      </w:r>
    </w:p>
    <w:p w14:paraId="0C477566" w14:textId="26DF26D6" w:rsidR="00613559" w:rsidRDefault="00A510C6">
      <w:pPr>
        <w:numPr>
          <w:ilvl w:val="1"/>
          <w:numId w:val="6"/>
        </w:numPr>
        <w:ind w:hanging="360"/>
      </w:pPr>
      <w:r>
        <w:t xml:space="preserve">het tussentijds beëindigen of het niet verlengen van een tijdelijk dienstverband;  </w:t>
      </w:r>
    </w:p>
    <w:p w14:paraId="2C6F8AA5" w14:textId="02A94FB9" w:rsidR="00613559" w:rsidRDefault="00A510C6">
      <w:pPr>
        <w:numPr>
          <w:ilvl w:val="1"/>
          <w:numId w:val="6"/>
        </w:numPr>
        <w:ind w:hanging="360"/>
      </w:pPr>
      <w:r>
        <w:lastRenderedPageBreak/>
        <w:t xml:space="preserve">het niet omzetten van een tijdelijk dienstverband in een vast dienstverband;  </w:t>
      </w:r>
    </w:p>
    <w:p w14:paraId="4E26A572" w14:textId="2E9CAEC4" w:rsidR="00613559" w:rsidRDefault="00A510C6">
      <w:pPr>
        <w:numPr>
          <w:ilvl w:val="1"/>
          <w:numId w:val="6"/>
        </w:numPr>
        <w:ind w:hanging="360"/>
      </w:pPr>
      <w:r>
        <w:t xml:space="preserve">het treffen van een disciplinaire maatregel;  </w:t>
      </w:r>
    </w:p>
    <w:p w14:paraId="3BA5E786" w14:textId="1B44C1D3" w:rsidR="00613559" w:rsidRDefault="00A510C6">
      <w:pPr>
        <w:numPr>
          <w:ilvl w:val="1"/>
          <w:numId w:val="6"/>
        </w:numPr>
        <w:ind w:hanging="360"/>
      </w:pPr>
      <w:r>
        <w:t xml:space="preserve">het opleggen van een onderzoeks-, spreek-, werkplek- en/of contactverbod aan de melder of collega’s van de melder, </w:t>
      </w:r>
    </w:p>
    <w:p w14:paraId="66AFC2BD" w14:textId="5B212B1B" w:rsidR="00613559" w:rsidRDefault="00A510C6">
      <w:pPr>
        <w:numPr>
          <w:ilvl w:val="1"/>
          <w:numId w:val="6"/>
        </w:numPr>
        <w:ind w:hanging="360"/>
      </w:pPr>
      <w:r>
        <w:t xml:space="preserve">de opgelegde benoeming in een andere functie;  </w:t>
      </w:r>
    </w:p>
    <w:p w14:paraId="7FCEBC4D" w14:textId="109E022B" w:rsidR="00613559" w:rsidRDefault="00A510C6">
      <w:pPr>
        <w:numPr>
          <w:ilvl w:val="1"/>
          <w:numId w:val="6"/>
        </w:numPr>
        <w:ind w:hanging="360"/>
      </w:pPr>
      <w:r>
        <w:t xml:space="preserve">het uitbreiden of beperken van de taken van de melder, anders dan op eigen verzoek; </w:t>
      </w:r>
    </w:p>
    <w:p w14:paraId="391AC88A" w14:textId="1D3D68C9" w:rsidR="00613559" w:rsidRDefault="00A510C6">
      <w:pPr>
        <w:numPr>
          <w:ilvl w:val="1"/>
          <w:numId w:val="6"/>
        </w:numPr>
        <w:ind w:hanging="360"/>
      </w:pPr>
      <w:r>
        <w:t xml:space="preserve">het verplaatsen of overplaatsen van de melder, anders dan op eigen verzoek; </w:t>
      </w:r>
    </w:p>
    <w:p w14:paraId="538C25A2" w14:textId="3FF4D749" w:rsidR="00613559" w:rsidRDefault="00A510C6">
      <w:pPr>
        <w:numPr>
          <w:ilvl w:val="1"/>
          <w:numId w:val="6"/>
        </w:numPr>
        <w:ind w:hanging="360"/>
      </w:pPr>
      <w:r>
        <w:t xml:space="preserve">het weigeren van een verzoek tot het verplaatsen of overplaatsen van de melder;  </w:t>
      </w:r>
    </w:p>
    <w:p w14:paraId="428C86FA" w14:textId="214A2B75" w:rsidR="00613559" w:rsidRDefault="00A510C6">
      <w:pPr>
        <w:numPr>
          <w:ilvl w:val="1"/>
          <w:numId w:val="6"/>
        </w:numPr>
        <w:ind w:hanging="360"/>
      </w:pPr>
      <w:r>
        <w:t xml:space="preserve">het wijzigen van de werkplek of het weigeren van een verzoek daartoe; </w:t>
      </w:r>
    </w:p>
    <w:p w14:paraId="2422F778" w14:textId="31EE61D9" w:rsidR="00613559" w:rsidRDefault="00A510C6">
      <w:pPr>
        <w:numPr>
          <w:ilvl w:val="1"/>
          <w:numId w:val="6"/>
        </w:numPr>
        <w:ind w:hanging="360"/>
      </w:pPr>
      <w:r>
        <w:t xml:space="preserve">het onthouden van salarisverhoging, incidentele beloning, bonus, of toekenning van vergoedingen;  </w:t>
      </w:r>
    </w:p>
    <w:p w14:paraId="6C7C777B" w14:textId="7970FA1B" w:rsidR="00613559" w:rsidRDefault="00A510C6">
      <w:pPr>
        <w:numPr>
          <w:ilvl w:val="1"/>
          <w:numId w:val="6"/>
        </w:numPr>
        <w:ind w:hanging="360"/>
      </w:pPr>
      <w:r>
        <w:t xml:space="preserve">het onthouden van promotiekansen;  </w:t>
      </w:r>
    </w:p>
    <w:p w14:paraId="7E008F0F" w14:textId="7E4D36B1" w:rsidR="00613559" w:rsidRDefault="00A510C6">
      <w:pPr>
        <w:numPr>
          <w:ilvl w:val="1"/>
          <w:numId w:val="6"/>
        </w:numPr>
        <w:ind w:hanging="360"/>
      </w:pPr>
      <w:r>
        <w:t xml:space="preserve">het niet accepteren van een ziekmelding, of het de werknemer als ziek geregistreerd laten. </w:t>
      </w:r>
    </w:p>
    <w:p w14:paraId="767D2982" w14:textId="3CBE6D39" w:rsidR="00613559" w:rsidRDefault="00A510C6">
      <w:pPr>
        <w:numPr>
          <w:ilvl w:val="1"/>
          <w:numId w:val="6"/>
        </w:numPr>
        <w:ind w:hanging="360"/>
      </w:pPr>
      <w:r>
        <w:t xml:space="preserve">het afwijzen van een verlofaanvraag; </w:t>
      </w:r>
    </w:p>
    <w:p w14:paraId="3AAE5231" w14:textId="01CB4243" w:rsidR="00613559" w:rsidRDefault="00A510C6">
      <w:pPr>
        <w:numPr>
          <w:ilvl w:val="1"/>
          <w:numId w:val="6"/>
        </w:numPr>
        <w:ind w:hanging="360"/>
      </w:pPr>
      <w:r>
        <w:t xml:space="preserve">het verlenen van verlof, anders dan op eigen verzoek; </w:t>
      </w:r>
    </w:p>
    <w:p w14:paraId="4C940647" w14:textId="45C55A52" w:rsidR="00613559" w:rsidRDefault="00A510C6">
      <w:pPr>
        <w:numPr>
          <w:ilvl w:val="0"/>
          <w:numId w:val="6"/>
        </w:numPr>
        <w:ind w:hanging="360"/>
      </w:pPr>
      <w:r>
        <w:t xml:space="preserve">Van benadeling als bedoeld in lid 1 is ook sprake als een redelijke grond aanwezig is om de melder aan te spreken op zijn functioneren of een benadelende maatregel als bedoeld in lid 2 jegens hem te nemen, maar de maatregel die de werkgever neemt niet in redelijke verhouding tot staat tot die grond. </w:t>
      </w:r>
    </w:p>
    <w:p w14:paraId="65C1C1E2" w14:textId="606DF2C7" w:rsidR="00613559" w:rsidRDefault="00A510C6">
      <w:pPr>
        <w:numPr>
          <w:ilvl w:val="0"/>
          <w:numId w:val="6"/>
        </w:numPr>
        <w:ind w:hanging="360"/>
      </w:pPr>
      <w:r>
        <w:t xml:space="preserve">Indien de werkgever jegens de melder binnen afzienbare tijd na het doen van een melding overgaat tot het nemen van een benadelende maatregel als bedoeld in lid 2, motiveert hij waarom hij deze maatregel nodig acht en dat deze maatregel geen verband houdt met het te goeder trouw en naar behoren melden van een vermoeden van een misstand </w:t>
      </w:r>
      <w:r w:rsidRPr="00BA07F6">
        <w:rPr>
          <w:i/>
        </w:rPr>
        <w:t>of onregelmatigheid</w:t>
      </w:r>
      <w:r>
        <w:t xml:space="preserve">. </w:t>
      </w:r>
    </w:p>
    <w:p w14:paraId="5537F11D" w14:textId="25F953BE" w:rsidR="00613559" w:rsidRDefault="00A510C6">
      <w:pPr>
        <w:numPr>
          <w:ilvl w:val="0"/>
          <w:numId w:val="6"/>
        </w:numPr>
        <w:ind w:hanging="360"/>
      </w:pPr>
      <w:r>
        <w:t xml:space="preserve">De werkgever draagt er zorg voor dat leidinggevenden en collega’s van de melder zich onthouden van iedere vorm van benadeling in verband met het te goeder trouw en naar behoren melden van een vermoeden van een misstand </w:t>
      </w:r>
      <w:r w:rsidRPr="00BA07F6">
        <w:rPr>
          <w:i/>
        </w:rPr>
        <w:t>of onregelmatigheid</w:t>
      </w:r>
      <w:r>
        <w:t xml:space="preserve">, die het professioneel of persoonlijk functioneren van de melder belemmert. Hieronder wordt in ieder geval verstaan: </w:t>
      </w:r>
    </w:p>
    <w:p w14:paraId="5E29C298" w14:textId="53648766" w:rsidR="00613559" w:rsidRDefault="00A510C6">
      <w:pPr>
        <w:numPr>
          <w:ilvl w:val="1"/>
          <w:numId w:val="6"/>
        </w:numPr>
        <w:ind w:hanging="360"/>
      </w:pPr>
      <w:r>
        <w:t xml:space="preserve">het negeren van de melder;  </w:t>
      </w:r>
    </w:p>
    <w:p w14:paraId="031B31FD" w14:textId="16B3CE67" w:rsidR="00613559" w:rsidRDefault="00A510C6">
      <w:pPr>
        <w:numPr>
          <w:ilvl w:val="1"/>
          <w:numId w:val="6"/>
        </w:numPr>
        <w:ind w:hanging="360"/>
      </w:pPr>
      <w:r>
        <w:t xml:space="preserve">het maken van ongefundeerde of buitenproportionele verwijten ten aanzien van het functioneren van de melder; </w:t>
      </w:r>
    </w:p>
    <w:p w14:paraId="14727133" w14:textId="181494C4" w:rsidR="00613559" w:rsidRDefault="00A510C6" w:rsidP="00FA4F5A">
      <w:pPr>
        <w:numPr>
          <w:ilvl w:val="1"/>
          <w:numId w:val="6"/>
        </w:numPr>
        <w:ind w:hanging="360"/>
      </w:pPr>
      <w:r>
        <w:t xml:space="preserve">het feitelijk opleggen van een onderzoeks-, spreek-, werkplek- en/of contactverbod aan de melder of collega’s van de melder, op welke wijze dan ook geformuleerd. </w:t>
      </w:r>
    </w:p>
    <w:p w14:paraId="2485483D" w14:textId="77777777" w:rsidR="00777EC8" w:rsidRDefault="00A510C6">
      <w:pPr>
        <w:numPr>
          <w:ilvl w:val="0"/>
          <w:numId w:val="6"/>
        </w:numPr>
        <w:ind w:hanging="360"/>
      </w:pPr>
      <w:r>
        <w:t>De werkgever spreekt werknemers die zich schuldig maken aan benadeling van de melder daarop aan en kan hen een waarschuwing of een disciplinaire maatregel opleggen.</w:t>
      </w:r>
    </w:p>
    <w:p w14:paraId="526C5627" w14:textId="1A6C1058" w:rsidR="00613559" w:rsidRDefault="00613559">
      <w:pPr>
        <w:spacing w:after="31" w:line="259" w:lineRule="auto"/>
        <w:ind w:left="0" w:firstLine="0"/>
      </w:pPr>
    </w:p>
    <w:p w14:paraId="2131FBB3" w14:textId="1F7F3C3A" w:rsidR="00613559" w:rsidRDefault="00A510C6" w:rsidP="0061491C">
      <w:pPr>
        <w:pStyle w:val="Kop1"/>
        <w:ind w:left="-5"/>
      </w:pPr>
      <w:r>
        <w:t xml:space="preserve">Artikel 6. Het tegengaan van benadeling van de melder </w:t>
      </w:r>
    </w:p>
    <w:p w14:paraId="1591BA3A" w14:textId="689BF1BA" w:rsidR="00613559" w:rsidRDefault="00A510C6">
      <w:pPr>
        <w:numPr>
          <w:ilvl w:val="0"/>
          <w:numId w:val="7"/>
        </w:numPr>
        <w:ind w:hanging="360"/>
      </w:pPr>
      <w:r>
        <w:t xml:space="preserve">De op de voet van artikel </w:t>
      </w:r>
      <w:r w:rsidR="00995B32">
        <w:t>8</w:t>
      </w:r>
      <w:r>
        <w:t xml:space="preserve"> lid 6 aangewezen </w:t>
      </w:r>
      <w:r w:rsidR="00DB34AC">
        <w:t>vertrouwenspersoon</w:t>
      </w:r>
      <w:r>
        <w:t xml:space="preserve"> bespreekt onverwijld, samen met de melder, welke risico’s op benadeling aanwezig zijn, op welke wijze die risico’s kunnen worden verminderd en wat de werknemer kan doen als hij van mening i</w:t>
      </w:r>
      <w:r w:rsidR="00DB34AC">
        <w:t>s dat sprake is van benadeling.</w:t>
      </w:r>
    </w:p>
    <w:p w14:paraId="12A1FF64" w14:textId="317B60AB" w:rsidR="00613559" w:rsidRDefault="00A510C6">
      <w:pPr>
        <w:numPr>
          <w:ilvl w:val="0"/>
          <w:numId w:val="7"/>
        </w:numPr>
        <w:ind w:hanging="360"/>
      </w:pPr>
      <w:r>
        <w:t xml:space="preserve">Indien de melder van mening is dat sprake is van benadeling, kan hij dat onverwijld bespreken met de contactpersoon. De contactpersoon draagt zorg voor een schriftelijke vaststelling hiervan, en legt deze vastlegging ter goedkeuring en ondertekening voor aan de melder. De contactpersoon stuurt het verslag onverwijld door aan de hoogste leidinggevende. De melder ontvangt hiervan een afschrift. </w:t>
      </w:r>
    </w:p>
    <w:p w14:paraId="6BCF5B45" w14:textId="5D43B0EA" w:rsidR="00613559" w:rsidRDefault="00A510C6">
      <w:pPr>
        <w:numPr>
          <w:ilvl w:val="0"/>
          <w:numId w:val="7"/>
        </w:numPr>
        <w:ind w:hanging="360"/>
      </w:pPr>
      <w:r>
        <w:lastRenderedPageBreak/>
        <w:t xml:space="preserve">De hoogste leidinggevende draagt er zorg voor dat maatregelen die nodig zijn om benadeling tegen te gaan worden genomen. </w:t>
      </w:r>
    </w:p>
    <w:p w14:paraId="0CED4BE6" w14:textId="77777777" w:rsidR="00613559" w:rsidRDefault="00A510C6">
      <w:pPr>
        <w:spacing w:after="33" w:line="259" w:lineRule="auto"/>
        <w:ind w:left="0" w:firstLine="0"/>
      </w:pPr>
      <w:r>
        <w:t xml:space="preserve"> </w:t>
      </w:r>
    </w:p>
    <w:p w14:paraId="2E7CD19B" w14:textId="7D926F8A" w:rsidR="00613559" w:rsidRPr="00756203" w:rsidRDefault="00A510C6">
      <w:pPr>
        <w:pStyle w:val="Kop1"/>
        <w:ind w:left="-5"/>
        <w:rPr>
          <w:i/>
          <w:color w:val="FF0000"/>
        </w:rPr>
      </w:pPr>
      <w:r>
        <w:t xml:space="preserve">Artikel </w:t>
      </w:r>
      <w:r w:rsidR="00995B32">
        <w:t>7</w:t>
      </w:r>
      <w:r>
        <w:t>. Vertrouwelijke omgang met de melding en de identiteit van de melder</w:t>
      </w:r>
    </w:p>
    <w:p w14:paraId="0581E55A" w14:textId="4FF967AE" w:rsidR="00613559" w:rsidRDefault="00A510C6">
      <w:pPr>
        <w:numPr>
          <w:ilvl w:val="0"/>
          <w:numId w:val="9"/>
        </w:numPr>
        <w:ind w:hanging="360"/>
      </w:pPr>
      <w:r>
        <w:t xml:space="preserve">De werkgever draagt er zorg voor dat de informatie over de melding zodanig wordt bewaard dat deze fysiek en digitaal alleen toegankelijk is voor diegenen die bij de behandeling van deze melding betrokken zijn. </w:t>
      </w:r>
    </w:p>
    <w:p w14:paraId="63487074" w14:textId="45B1B68D" w:rsidR="00613559" w:rsidRDefault="00A510C6">
      <w:pPr>
        <w:numPr>
          <w:ilvl w:val="0"/>
          <w:numId w:val="9"/>
        </w:numPr>
        <w:ind w:hanging="360"/>
      </w:pPr>
      <w:r>
        <w:t xml:space="preserve">Al diegenen die bij de behandeling van een melding betrokken zijn maken de identiteit van de melder niet bekend zonder uitdrukkelijke schriftelijke instemming van de melder en gaan met de informatie over de melding vertrouwelijk om. </w:t>
      </w:r>
    </w:p>
    <w:p w14:paraId="6D0F0C45" w14:textId="78049F78" w:rsidR="00613559" w:rsidRDefault="00A510C6">
      <w:pPr>
        <w:numPr>
          <w:ilvl w:val="0"/>
          <w:numId w:val="9"/>
        </w:numPr>
        <w:ind w:hanging="360"/>
      </w:pPr>
      <w:r>
        <w:t xml:space="preserve">Indien het vermoeden van een misstand </w:t>
      </w:r>
      <w:r w:rsidRPr="00BA07F6">
        <w:rPr>
          <w:i/>
        </w:rPr>
        <w:t>of onregelmatigheid</w:t>
      </w:r>
      <w:r>
        <w:t xml:space="preserve"> is gemeld via de vertrouwenspersoon en de melder geen toestemming heeft gegeven zijn identiteit bekend te maken, wordt alle correspondentie over de melding verstuurd aan de vertrouwenspersoon en stuurt de vertrouwenspersoon dit onverwijld door aan de melder. </w:t>
      </w:r>
    </w:p>
    <w:p w14:paraId="7556B61D" w14:textId="08C3F657" w:rsidR="00613559" w:rsidRDefault="00A510C6">
      <w:pPr>
        <w:numPr>
          <w:ilvl w:val="0"/>
          <w:numId w:val="9"/>
        </w:numPr>
        <w:ind w:hanging="360"/>
      </w:pPr>
      <w:r>
        <w:t xml:space="preserve">Al diegenen die bij de behandeling van een melding betrokken zijn maken de identiteit van de adviseur niet bekend zonder uitdrukkelijke schriftelijke instemming van de melder en de adviseur. </w:t>
      </w:r>
    </w:p>
    <w:p w14:paraId="1A956AE7" w14:textId="77777777" w:rsidR="00613559" w:rsidRDefault="00A510C6">
      <w:pPr>
        <w:spacing w:after="33" w:line="259" w:lineRule="auto"/>
        <w:ind w:left="0" w:firstLine="0"/>
      </w:pPr>
      <w:r>
        <w:rPr>
          <w:b/>
        </w:rPr>
        <w:t xml:space="preserve"> </w:t>
      </w:r>
    </w:p>
    <w:p w14:paraId="7132D6D6" w14:textId="75CDEEAD" w:rsidR="00613559" w:rsidRDefault="00A510C6" w:rsidP="0061491C">
      <w:pPr>
        <w:pStyle w:val="Kop1"/>
        <w:ind w:left="-5"/>
      </w:pPr>
      <w:r>
        <w:t xml:space="preserve">Artikel </w:t>
      </w:r>
      <w:r w:rsidR="00995B32">
        <w:t>8</w:t>
      </w:r>
      <w:r>
        <w:t>. Vastlegging, doorsturen en ontvangstbevestiging van de interne melding</w:t>
      </w:r>
      <w:r w:rsidR="00756203">
        <w:rPr>
          <w:rStyle w:val="Voetnootmarkering"/>
        </w:rPr>
        <w:footnoteReference w:id="21"/>
      </w:r>
      <w:r>
        <w:t xml:space="preserve"> </w:t>
      </w:r>
    </w:p>
    <w:p w14:paraId="4668D56A" w14:textId="784A5243" w:rsidR="00613559" w:rsidRDefault="00A510C6">
      <w:pPr>
        <w:numPr>
          <w:ilvl w:val="0"/>
          <w:numId w:val="10"/>
        </w:numPr>
        <w:ind w:hanging="360"/>
      </w:pPr>
      <w:r>
        <w:t xml:space="preserve">Indien de </w:t>
      </w:r>
      <w:r w:rsidR="00CB5701">
        <w:t>melder</w:t>
      </w:r>
      <w:r>
        <w:t xml:space="preserve"> de melding van een vermoeden van een misstand </w:t>
      </w:r>
      <w:r w:rsidRPr="00BA07F6">
        <w:rPr>
          <w:i/>
        </w:rPr>
        <w:t>of onregelmatigheid</w:t>
      </w:r>
      <w:r>
        <w:t xml:space="preserve"> mondeling bij </w:t>
      </w:r>
      <w:bookmarkStart w:id="7" w:name="_Hlk129912176"/>
      <w:r w:rsidR="009B09C6" w:rsidRPr="00175A17">
        <w:rPr>
          <w:highlight w:val="yellow"/>
        </w:rPr>
        <w:t>de externe vertrouwenspersoon of</w:t>
      </w:r>
      <w:r w:rsidR="009B09C6">
        <w:t xml:space="preserve"> </w:t>
      </w:r>
      <w:bookmarkEnd w:id="7"/>
      <w:r>
        <w:t xml:space="preserve">een leidinggevende doet of een schriftelijke melding van een mondelinge toelichting voorziet, draagt </w:t>
      </w:r>
      <w:r w:rsidR="009B09C6" w:rsidRPr="00DF476E">
        <w:rPr>
          <w:highlight w:val="yellow"/>
        </w:rPr>
        <w:t xml:space="preserve">de externe vertrouwenspersoon </w:t>
      </w:r>
      <w:r w:rsidR="009B09C6">
        <w:rPr>
          <w:highlight w:val="yellow"/>
        </w:rPr>
        <w:t>respectievelijk</w:t>
      </w:r>
      <w:r w:rsidR="009B09C6">
        <w:t xml:space="preserve"> </w:t>
      </w:r>
      <w:r>
        <w:t xml:space="preserve">deze leidinggevende, in overleg met de melder, zorg voor een schriftelijke vaststelling hiervan, en legt deze vastlegging ter goedkeuring en ondertekening voor aan de melder. De melder ontvangt hiervan een afschrift. </w:t>
      </w:r>
    </w:p>
    <w:p w14:paraId="3ED01F25" w14:textId="4E5B52B7" w:rsidR="00613559" w:rsidRDefault="00A510C6">
      <w:pPr>
        <w:numPr>
          <w:ilvl w:val="0"/>
          <w:numId w:val="10"/>
        </w:numPr>
        <w:ind w:hanging="360"/>
      </w:pPr>
      <w:r>
        <w:t xml:space="preserve">Indien de </w:t>
      </w:r>
      <w:r w:rsidR="00CB5701">
        <w:t>melder</w:t>
      </w:r>
      <w:r>
        <w:t xml:space="preserve"> de melding van een vermoeden van een misstand </w:t>
      </w:r>
      <w:r w:rsidRPr="00BA07F6">
        <w:rPr>
          <w:i/>
        </w:rPr>
        <w:t>of onregelmatigheid</w:t>
      </w:r>
      <w:r>
        <w:t xml:space="preserve"> mondeling via de vertrouwenspersoon doet of een schriftelijke melding van een mondelinge toelichting voorziet, draagt deze vertrouwenspersoon, in overleg met de melder, zorg voor een schriftelijke vaststelling hiervan, en legt deze vastlegging ter goedkeuring en ondertekening voor aan de melder. De melder ontvangt hiervan een afschrift. </w:t>
      </w:r>
    </w:p>
    <w:p w14:paraId="5147ADE6" w14:textId="0D3EFDFE" w:rsidR="00613559" w:rsidRDefault="00A510C6">
      <w:pPr>
        <w:numPr>
          <w:ilvl w:val="0"/>
          <w:numId w:val="10"/>
        </w:numPr>
        <w:ind w:hanging="360"/>
      </w:pPr>
      <w:r>
        <w:t xml:space="preserve">De </w:t>
      </w:r>
      <w:r w:rsidR="009B09C6" w:rsidRPr="00DF476E">
        <w:rPr>
          <w:highlight w:val="yellow"/>
        </w:rPr>
        <w:t>externe vertrouwenspersoon of</w:t>
      </w:r>
      <w:r w:rsidR="009B09C6">
        <w:t xml:space="preserve"> de </w:t>
      </w:r>
      <w:r>
        <w:t xml:space="preserve">leidinggevende bij wie de melding is gedaan stuurt de melding onverwijld door aan de hoogste leidinggevende binnen de organisatie van de werkgever. </w:t>
      </w:r>
    </w:p>
    <w:p w14:paraId="45E73A21" w14:textId="772B2D91" w:rsidR="00613559" w:rsidRDefault="00A510C6">
      <w:pPr>
        <w:numPr>
          <w:ilvl w:val="0"/>
          <w:numId w:val="10"/>
        </w:numPr>
        <w:ind w:hanging="360"/>
      </w:pPr>
      <w:r>
        <w:t xml:space="preserve">Indien de melder of de leidinggevende bij wie de melding is gedaan een redelijk vermoeden hebben dat de hoogst leidinggevende bij de vermoede misstand </w:t>
      </w:r>
      <w:r w:rsidRPr="00BA07F6">
        <w:rPr>
          <w:i/>
        </w:rPr>
        <w:t>of onregelmatigheid</w:t>
      </w:r>
      <w:r>
        <w:t xml:space="preserve"> betrokken is, stuurt de leidinggevende de melding onverwijld door aan </w:t>
      </w:r>
      <w:r w:rsidR="00C61AB2">
        <w:t xml:space="preserve">de </w:t>
      </w:r>
      <w:r w:rsidR="00DB34AC">
        <w:t xml:space="preserve">hoogst verantwoordelijke </w:t>
      </w:r>
      <w:r>
        <w:t>binnen de organisatie van de werkgever. In dat geval dient in deze regeling voor “de hoogste leidinggevende” verder “</w:t>
      </w:r>
      <w:r w:rsidR="007750EB">
        <w:t>de Raad van Commissarissen</w:t>
      </w:r>
      <w:r>
        <w:t xml:space="preserve">” te worden gelezen. </w:t>
      </w:r>
    </w:p>
    <w:p w14:paraId="52ADDB34" w14:textId="2FCE7801" w:rsidR="00613559" w:rsidRDefault="00A510C6">
      <w:pPr>
        <w:numPr>
          <w:ilvl w:val="0"/>
          <w:numId w:val="10"/>
        </w:numPr>
        <w:ind w:hanging="360"/>
      </w:pPr>
      <w:r>
        <w:t>De hoogste leidinggevende stuurt de melder onverwijld</w:t>
      </w:r>
      <w:r w:rsidR="00D25292">
        <w:t xml:space="preserve">, </w:t>
      </w:r>
      <w:r w:rsidR="00D25292" w:rsidRPr="00175A17">
        <w:rPr>
          <w:highlight w:val="yellow"/>
        </w:rPr>
        <w:t>en in ieder geval</w:t>
      </w:r>
      <w:r w:rsidRPr="00175A17">
        <w:rPr>
          <w:highlight w:val="yellow"/>
        </w:rPr>
        <w:t xml:space="preserve"> </w:t>
      </w:r>
      <w:r w:rsidR="00D25292" w:rsidRPr="00175A17">
        <w:rPr>
          <w:highlight w:val="yellow"/>
        </w:rPr>
        <w:t>binnen zeven dagen na ontvangst van diens melding,</w:t>
      </w:r>
      <w:r w:rsidR="00D25292">
        <w:t xml:space="preserve"> </w:t>
      </w:r>
      <w:r>
        <w:t xml:space="preserve">een bevestiging dat de melding is ontvangen. De ontvangstbevestiging bevat in ieder geval een zakelijke beschrijving van de melding, de datum waarop deze is ontvangen en een afschrift van de melding. </w:t>
      </w:r>
    </w:p>
    <w:p w14:paraId="72BF4436" w14:textId="0ED1C85C" w:rsidR="00613559" w:rsidRDefault="00A510C6">
      <w:pPr>
        <w:numPr>
          <w:ilvl w:val="0"/>
          <w:numId w:val="10"/>
        </w:numPr>
        <w:ind w:hanging="360"/>
      </w:pPr>
      <w:r>
        <w:t xml:space="preserve">Na ontvangst van de melding wijst de hoogste leidinggevende, in overleg met de melder, onverwijld een </w:t>
      </w:r>
      <w:r w:rsidR="00C72480">
        <w:t>contactpersoon</w:t>
      </w:r>
      <w:r>
        <w:t xml:space="preserve"> aan met het oog op het tegengaan van benadeling. </w:t>
      </w:r>
    </w:p>
    <w:p w14:paraId="2EA8C228" w14:textId="77777777" w:rsidR="00613559" w:rsidRDefault="00A510C6">
      <w:pPr>
        <w:spacing w:after="34" w:line="259" w:lineRule="auto"/>
        <w:ind w:left="0" w:firstLine="0"/>
      </w:pPr>
      <w:r>
        <w:t xml:space="preserve"> </w:t>
      </w:r>
    </w:p>
    <w:p w14:paraId="60583051" w14:textId="20811305" w:rsidR="0061491C" w:rsidRPr="00216058" w:rsidRDefault="00A510C6" w:rsidP="0061491C">
      <w:pPr>
        <w:pStyle w:val="Kop1"/>
        <w:ind w:left="-5"/>
        <w:rPr>
          <w:i/>
          <w:color w:val="FF0000"/>
        </w:rPr>
      </w:pPr>
      <w:r>
        <w:lastRenderedPageBreak/>
        <w:t xml:space="preserve">Artikel </w:t>
      </w:r>
      <w:r w:rsidR="00995B32">
        <w:t>9</w:t>
      </w:r>
      <w:r>
        <w:t>. Behandeling van de interne melding door de werkgever</w:t>
      </w:r>
      <w:r w:rsidR="00F721FE">
        <w:rPr>
          <w:rStyle w:val="Voetnootmarkering"/>
        </w:rPr>
        <w:footnoteReference w:id="22"/>
      </w:r>
      <w:r>
        <w:t xml:space="preserve">  </w:t>
      </w:r>
    </w:p>
    <w:p w14:paraId="310F029B" w14:textId="7A5F3C5A" w:rsidR="00613559" w:rsidRDefault="00A510C6">
      <w:pPr>
        <w:numPr>
          <w:ilvl w:val="0"/>
          <w:numId w:val="11"/>
        </w:numPr>
        <w:ind w:hanging="360"/>
      </w:pPr>
      <w:r>
        <w:t xml:space="preserve">De hoogste leidinggevende stelt een onderzoek in naar het gemelde vermoeden van een misstand </w:t>
      </w:r>
      <w:r w:rsidRPr="00BA07F6">
        <w:rPr>
          <w:i/>
        </w:rPr>
        <w:t>of onregelmatigheid</w:t>
      </w:r>
      <w:r>
        <w:t xml:space="preserve">, tenzij:  </w:t>
      </w:r>
    </w:p>
    <w:p w14:paraId="27E3B054" w14:textId="1CF2C606" w:rsidR="00613559" w:rsidRDefault="00A510C6">
      <w:pPr>
        <w:numPr>
          <w:ilvl w:val="1"/>
          <w:numId w:val="11"/>
        </w:numPr>
        <w:ind w:hanging="360"/>
      </w:pPr>
      <w:r>
        <w:t xml:space="preserve">het vermoeden niet gebaseerd is op redelijke gronden, of </w:t>
      </w:r>
    </w:p>
    <w:p w14:paraId="64F04CF2" w14:textId="46B1B6AF" w:rsidR="00613559" w:rsidRDefault="00A510C6">
      <w:pPr>
        <w:numPr>
          <w:ilvl w:val="1"/>
          <w:numId w:val="11"/>
        </w:numPr>
        <w:ind w:hanging="360"/>
      </w:pPr>
      <w:r>
        <w:t xml:space="preserve">op voorhand duidelijk is dat het gemelde geen betrekking heeft op een vermoeden van een misstand </w:t>
      </w:r>
      <w:r w:rsidRPr="00BA07F6">
        <w:rPr>
          <w:i/>
        </w:rPr>
        <w:t>of onregelmatigheid</w:t>
      </w:r>
      <w:r>
        <w:t xml:space="preserve">. </w:t>
      </w:r>
    </w:p>
    <w:p w14:paraId="71C4D639" w14:textId="4B3F22E4" w:rsidR="00613559" w:rsidRDefault="00A510C6">
      <w:pPr>
        <w:numPr>
          <w:ilvl w:val="0"/>
          <w:numId w:val="11"/>
        </w:numPr>
        <w:ind w:hanging="360"/>
      </w:pPr>
      <w:r>
        <w:t xml:space="preserve">Indien de hoogste leidinggevende besluit geen onderzoek in te stellen, informeert hij de melder daar binnen twee weken na de interne melding schriftelijk over. Daarbij wordt tevens aangegeven op grond waarvan de hoogste leidinggevende van oordeel is dat het vermoeden niet gebaseerd is op redelijke gronden, of dat op voorhand duidelijk is dat het gemelde geen betrekking heeft op een vermoeden van een misstand </w:t>
      </w:r>
      <w:r w:rsidRPr="00BA07F6">
        <w:rPr>
          <w:i/>
        </w:rPr>
        <w:t>of onregelmatigheid</w:t>
      </w:r>
      <w:r>
        <w:t xml:space="preserve">. </w:t>
      </w:r>
    </w:p>
    <w:p w14:paraId="275B41A5" w14:textId="6D4BCB51" w:rsidR="00613559" w:rsidRDefault="00A510C6">
      <w:pPr>
        <w:numPr>
          <w:ilvl w:val="0"/>
          <w:numId w:val="11"/>
        </w:numPr>
        <w:ind w:hanging="360"/>
      </w:pPr>
      <w:r>
        <w:t>De hoogste leidinggevende beoordeelt of een externe instantie van de interne melding van een vermoeden van een misstand op de hoogte moet worden gebracht. Indien de werkgever een externe instantie op de hoogte stelt, stuurt de hoogste leidinggevende de melder hiervan een afschrift, tenzij hiertegen ernstige bezwaren bestaan</w:t>
      </w:r>
      <w:r w:rsidR="004E0AF6">
        <w:rPr>
          <w:rStyle w:val="Voetnootmarkering"/>
        </w:rPr>
        <w:footnoteReference w:id="23"/>
      </w:r>
      <w:r>
        <w:t xml:space="preserve">. </w:t>
      </w:r>
    </w:p>
    <w:p w14:paraId="72F21102" w14:textId="4ACF5B5C" w:rsidR="00613559" w:rsidRDefault="00A510C6">
      <w:pPr>
        <w:numPr>
          <w:ilvl w:val="0"/>
          <w:numId w:val="11"/>
        </w:numPr>
        <w:ind w:hanging="360"/>
      </w:pPr>
      <w:r>
        <w:t xml:space="preserve">De hoogste leidinggevende draagt het onderzoek op aan onderzoekers die onafhankelijk en onpartijdig zijn, en laat het onderzoek in ieder geval niet uitvoeren door personen die mogelijk betrokken zijn of zijn geweest bij de vermoede misstand </w:t>
      </w:r>
      <w:r w:rsidRPr="00BA07F6">
        <w:rPr>
          <w:i/>
        </w:rPr>
        <w:t>of onregelmatigheid</w:t>
      </w:r>
      <w:r>
        <w:t xml:space="preserve">.  </w:t>
      </w:r>
    </w:p>
    <w:p w14:paraId="4B837129" w14:textId="3B46085D" w:rsidR="00613559" w:rsidRDefault="00A510C6">
      <w:pPr>
        <w:numPr>
          <w:ilvl w:val="0"/>
          <w:numId w:val="11"/>
        </w:numPr>
        <w:ind w:hanging="360"/>
      </w:pPr>
      <w:r>
        <w:t xml:space="preserve">De hoogste leidinggevende informeert de melder onverwijld schriftelijk dat een onderzoek is ingesteld en door wie het onderzoek wordt uitgevoerd. De hoogst leidinggevende stuurt de melder daarbij een afschrift van de onderzoeksopdracht, tenzij hiertegen ernstige bezwaren bestaan. </w:t>
      </w:r>
    </w:p>
    <w:p w14:paraId="0C99206B" w14:textId="2A22C0A7" w:rsidR="00613559" w:rsidRDefault="00A510C6">
      <w:pPr>
        <w:numPr>
          <w:ilvl w:val="0"/>
          <w:numId w:val="11"/>
        </w:numPr>
        <w:ind w:hanging="360"/>
      </w:pPr>
      <w:r>
        <w:t xml:space="preserve">De hoogste leidinggevende informeert de personen op wie een melding betrekking heeft over de melding en over het op de hoogte brengen van een externe instantie zoals bedoeld in lid 3, tenzij het onderzoeksbelang of het handhavingsbelang daardoor kunnen worden geschaad. </w:t>
      </w:r>
    </w:p>
    <w:p w14:paraId="697D5946" w14:textId="77777777" w:rsidR="00613559" w:rsidRDefault="00A510C6">
      <w:pPr>
        <w:spacing w:after="31" w:line="259" w:lineRule="auto"/>
        <w:ind w:left="0" w:firstLine="0"/>
      </w:pPr>
      <w:r>
        <w:t xml:space="preserve"> </w:t>
      </w:r>
    </w:p>
    <w:p w14:paraId="0FB6922F" w14:textId="0FC3E481" w:rsidR="0061491C" w:rsidRPr="00216058" w:rsidRDefault="00A510C6" w:rsidP="0061491C">
      <w:pPr>
        <w:pStyle w:val="Kop1"/>
        <w:ind w:left="-5"/>
        <w:rPr>
          <w:i/>
          <w:color w:val="FF0000"/>
        </w:rPr>
      </w:pPr>
      <w:r>
        <w:t xml:space="preserve">Artikel </w:t>
      </w:r>
      <w:r w:rsidR="00995B32">
        <w:t>10</w:t>
      </w:r>
      <w:r>
        <w:t>. De uitvoering van het onderzoek</w:t>
      </w:r>
      <w:r w:rsidR="00F721FE">
        <w:rPr>
          <w:rStyle w:val="Voetnootmarkering"/>
        </w:rPr>
        <w:footnoteReference w:id="24"/>
      </w:r>
      <w:r>
        <w:t xml:space="preserve"> </w:t>
      </w:r>
    </w:p>
    <w:p w14:paraId="308FCE3D" w14:textId="073A21D3" w:rsidR="00613559" w:rsidRDefault="00A510C6">
      <w:pPr>
        <w:numPr>
          <w:ilvl w:val="0"/>
          <w:numId w:val="12"/>
        </w:numPr>
        <w:ind w:hanging="360"/>
      </w:pPr>
      <w:r>
        <w:t xml:space="preserve">De onderzoekers stellen de melder in de gelegenheid te worden gehoord. De onderzoekers dragen zorg voor een schriftelijke vaststelling hiervan, en leggen deze vastlegging ter goedkeuring en ondertekening voor aan de melder. De melder ontvangt hiervan een afschrift. </w:t>
      </w:r>
    </w:p>
    <w:p w14:paraId="17E7B907" w14:textId="186DDFCF" w:rsidR="00613559" w:rsidRDefault="00A510C6">
      <w:pPr>
        <w:numPr>
          <w:ilvl w:val="0"/>
          <w:numId w:val="12"/>
        </w:numPr>
        <w:ind w:hanging="360"/>
      </w:pPr>
      <w:r>
        <w:t xml:space="preserve">De onderzoekers kunnen ook anderen horen. De onderzoekers dragen zorg voor een schriftelijke vaststelling hiervan, en leggen deze vastlegging ter goedkeuring en ondertekening voor aan degene die gehoord is. Degene die gehoord is ontvangt hiervan een afschrift.  </w:t>
      </w:r>
    </w:p>
    <w:p w14:paraId="2FB2043B" w14:textId="03C4178A" w:rsidR="00613559" w:rsidRDefault="00A510C6">
      <w:pPr>
        <w:numPr>
          <w:ilvl w:val="0"/>
          <w:numId w:val="12"/>
        </w:numPr>
        <w:ind w:hanging="360"/>
      </w:pPr>
      <w:r>
        <w:t xml:space="preserve">De onderzoekers kunnen binnen de organisatie van de werkgever alle documenten inzien en opvragen die zij voor het doen van het onderzoek redelijkerwijs nodig achten. </w:t>
      </w:r>
    </w:p>
    <w:p w14:paraId="5B59183C" w14:textId="0B6D2862" w:rsidR="00613559" w:rsidRDefault="00A510C6">
      <w:pPr>
        <w:numPr>
          <w:ilvl w:val="0"/>
          <w:numId w:val="12"/>
        </w:numPr>
        <w:ind w:hanging="360"/>
      </w:pPr>
      <w:r>
        <w:t xml:space="preserve">Werknemers mogen de onderzoekers alle documenten verstrekken waarvan zij het redelijkerwijs nodig achten dat de onderzoekers daar in het kader van het onderzoek kennis van nemen. </w:t>
      </w:r>
    </w:p>
    <w:p w14:paraId="0403969C" w14:textId="23410AD3" w:rsidR="00613559" w:rsidRDefault="00A510C6">
      <w:pPr>
        <w:numPr>
          <w:ilvl w:val="0"/>
          <w:numId w:val="12"/>
        </w:numPr>
        <w:ind w:hanging="360"/>
      </w:pPr>
      <w:r>
        <w:t xml:space="preserve">De onderzoekers stellen een concept onderzoeksrapport op en stellen de melder in de gelegenheid daar opmerkingen bij te maken, tenzij hiertegen ernstige bezwaren bestaan. </w:t>
      </w:r>
    </w:p>
    <w:p w14:paraId="18B585DD" w14:textId="35D946E5" w:rsidR="00613559" w:rsidRDefault="00A510C6">
      <w:pPr>
        <w:numPr>
          <w:ilvl w:val="0"/>
          <w:numId w:val="12"/>
        </w:numPr>
        <w:ind w:hanging="360"/>
      </w:pPr>
      <w:r>
        <w:lastRenderedPageBreak/>
        <w:t xml:space="preserve">De onderzoekers stellen vervolgens het onderzoeksrapport vast. Zij sturen de melder hiervan een afschrift, tenzij hiertegen ernstige bezwaren bestaan. </w:t>
      </w:r>
    </w:p>
    <w:p w14:paraId="06DD22B1" w14:textId="77777777" w:rsidR="00613559" w:rsidRDefault="00A510C6">
      <w:pPr>
        <w:spacing w:after="33" w:line="259" w:lineRule="auto"/>
        <w:ind w:left="0" w:firstLine="0"/>
      </w:pPr>
      <w:r>
        <w:t xml:space="preserve"> </w:t>
      </w:r>
    </w:p>
    <w:p w14:paraId="6C8884A3" w14:textId="6921E8ED" w:rsidR="00613559" w:rsidRDefault="00A510C6" w:rsidP="0061491C">
      <w:pPr>
        <w:pStyle w:val="Kop1"/>
        <w:ind w:left="-5"/>
      </w:pPr>
      <w:r>
        <w:t xml:space="preserve">Artikel </w:t>
      </w:r>
      <w:r w:rsidR="00995B32">
        <w:t>11</w:t>
      </w:r>
      <w:r>
        <w:t>. Standpunt van de werkgever</w:t>
      </w:r>
      <w:r w:rsidR="00F721FE">
        <w:rPr>
          <w:rStyle w:val="Voetnootmarkering"/>
        </w:rPr>
        <w:footnoteReference w:id="25"/>
      </w:r>
      <w:r>
        <w:t xml:space="preserve"> </w:t>
      </w:r>
    </w:p>
    <w:p w14:paraId="4C556517" w14:textId="7FB7B642" w:rsidR="00613559" w:rsidRDefault="00A510C6">
      <w:pPr>
        <w:numPr>
          <w:ilvl w:val="0"/>
          <w:numId w:val="13"/>
        </w:numPr>
        <w:ind w:hanging="360"/>
      </w:pPr>
      <w:r>
        <w:t>De hoogste leidinggevende informeert de melder binnen acht weken na de melding</w:t>
      </w:r>
      <w:r w:rsidR="00531171">
        <w:rPr>
          <w:rStyle w:val="Voetnootmarkering"/>
        </w:rPr>
        <w:footnoteReference w:id="26"/>
      </w:r>
      <w:r w:rsidR="00531171" w:rsidRPr="00073D75">
        <w:t xml:space="preserve"> </w:t>
      </w:r>
      <w:r>
        <w:t xml:space="preserve"> schriftelijk over het inhoudelijk standpunt met betrekking tot het gemelde vermoeden van een missstand </w:t>
      </w:r>
      <w:r w:rsidRPr="00BA07F6">
        <w:rPr>
          <w:i/>
        </w:rPr>
        <w:t>of onregelmatigheid</w:t>
      </w:r>
      <w:r>
        <w:t>. Daarbij wordt tevens aangegeven tot welke stappen de melding heeft geleid</w:t>
      </w:r>
      <w:r w:rsidR="00564880">
        <w:t xml:space="preserve"> dan wel zal leiden</w:t>
      </w:r>
      <w:r>
        <w:t xml:space="preserve">. </w:t>
      </w:r>
    </w:p>
    <w:p w14:paraId="0313F136" w14:textId="3C458ADF" w:rsidR="00613559" w:rsidRDefault="00A510C6">
      <w:pPr>
        <w:numPr>
          <w:ilvl w:val="0"/>
          <w:numId w:val="13"/>
        </w:numPr>
        <w:ind w:hanging="360"/>
      </w:pPr>
      <w:r>
        <w:t>Indien duidelijk wordt dat het standpunt niet binnen de gestelde termijn kan worden gegeven, informeert de hoogste leidinggevende de melder daar schriftelijk over. Daarbij wordt aangegeven binnen welke termijn de melder het standpunt tegemoet kan zien. Indien de totale termijn daardoor meer dan twaalf</w:t>
      </w:r>
      <w:r w:rsidR="00564880">
        <w:t xml:space="preserve"> </w:t>
      </w:r>
      <w:r>
        <w:t xml:space="preserve">weken bedraagt, wordt daarbij tevens aangegeven waarom een langere termijn noodzakelijk is. </w:t>
      </w:r>
    </w:p>
    <w:p w14:paraId="2F194D88" w14:textId="54F1B18D" w:rsidR="00613559" w:rsidRDefault="00A510C6">
      <w:pPr>
        <w:numPr>
          <w:ilvl w:val="0"/>
          <w:numId w:val="13"/>
        </w:numPr>
        <w:ind w:hanging="360"/>
      </w:pPr>
      <w:r>
        <w:t xml:space="preserve">Na afronding van het onderzoek beoordeelt de hoogste leidinggevende of een externe instantie van de interne melding van een vermoeden van een misstand en van het onderzoeksrapport en het standpunt van de werkgever op de hoogte moet worden gebracht. Indien de werkgever een externe instantie op de hoogte stelt, stuurt hij de melder hiervan een afschrift, tenzij hiertegen ernstige bezwaren bestaan. </w:t>
      </w:r>
    </w:p>
    <w:p w14:paraId="78C014A0" w14:textId="764FBBB2" w:rsidR="00613559" w:rsidRDefault="00A510C6">
      <w:pPr>
        <w:numPr>
          <w:ilvl w:val="0"/>
          <w:numId w:val="13"/>
        </w:numPr>
        <w:ind w:hanging="360"/>
      </w:pPr>
      <w:r>
        <w:t xml:space="preserve">De personen op wie de melding betrekking heeft, worden in overeenkomstige zin geïnformeerd als de melder op grond van lid 1 t/m 3, tenzij het onderzoeksbelang of het handhavingsbelang daardoor kunnen worden geschaad. </w:t>
      </w:r>
    </w:p>
    <w:p w14:paraId="7BE43422" w14:textId="77777777" w:rsidR="00613559" w:rsidRDefault="00A510C6">
      <w:pPr>
        <w:spacing w:after="33" w:line="259" w:lineRule="auto"/>
        <w:ind w:left="0" w:firstLine="0"/>
      </w:pPr>
      <w:r>
        <w:t xml:space="preserve"> </w:t>
      </w:r>
    </w:p>
    <w:p w14:paraId="7CB0FFD9" w14:textId="573545D0" w:rsidR="00613559" w:rsidRDefault="00A510C6" w:rsidP="0061491C">
      <w:pPr>
        <w:pStyle w:val="Kop1"/>
        <w:ind w:left="-5"/>
      </w:pPr>
      <w:r>
        <w:t xml:space="preserve">Artikel </w:t>
      </w:r>
      <w:r w:rsidR="00995B32">
        <w:t>12</w:t>
      </w:r>
      <w:r>
        <w:t xml:space="preserve">. Hoor en wederhoor ten aanzien van onderzoeksrapport en standpunt werkgever </w:t>
      </w:r>
    </w:p>
    <w:p w14:paraId="2D541FA5" w14:textId="0223F2C4" w:rsidR="00613559" w:rsidRDefault="00A510C6">
      <w:pPr>
        <w:numPr>
          <w:ilvl w:val="0"/>
          <w:numId w:val="14"/>
        </w:numPr>
        <w:ind w:hanging="360"/>
      </w:pPr>
      <w:r>
        <w:t xml:space="preserve">De werkgever stelt de melder in de gelegenheid op het onderzoeksrapport en het standpunt van de werkgever te reageren. </w:t>
      </w:r>
    </w:p>
    <w:p w14:paraId="0F4EC181" w14:textId="4C8D88B7" w:rsidR="00613559" w:rsidRDefault="00A510C6">
      <w:pPr>
        <w:numPr>
          <w:ilvl w:val="0"/>
          <w:numId w:val="14"/>
        </w:numPr>
        <w:ind w:hanging="360"/>
      </w:pPr>
      <w:r>
        <w:t xml:space="preserve">Indien de melder in reactie op het onderzoeksrapport of het standpunt van de werkgever onderbouwd aangeeft dat het vermoeden van een </w:t>
      </w:r>
      <w:r w:rsidRPr="00BA07F6">
        <w:rPr>
          <w:i/>
        </w:rPr>
        <w:t>onregelmatigheid of</w:t>
      </w:r>
      <w:r>
        <w:t xml:space="preserve"> misstand niet daadwerkelijk of niet deugdelijk is onderzocht of dat in het onderzoeksrapport of het standpunt van de werkgever sprake is van wezenlijke onjuistheden, reageert de werkgever hier inhoudelijk op en stelt hij zo nodig een nieuw of aanvullend onderzoek in. Op dit nieuwe of aanvullende onderzoek zijn artikel </w:t>
      </w:r>
      <w:r w:rsidR="00995B32">
        <w:t>9</w:t>
      </w:r>
      <w:r>
        <w:t xml:space="preserve"> t/m </w:t>
      </w:r>
      <w:r w:rsidR="00995B32">
        <w:t>12</w:t>
      </w:r>
      <w:r>
        <w:t xml:space="preserve"> van overeenkomstige toepassing. </w:t>
      </w:r>
    </w:p>
    <w:p w14:paraId="5B622D0E" w14:textId="6CC2BDD4" w:rsidR="00613559" w:rsidRDefault="00A510C6">
      <w:pPr>
        <w:numPr>
          <w:ilvl w:val="0"/>
          <w:numId w:val="14"/>
        </w:numPr>
        <w:ind w:hanging="360"/>
      </w:pPr>
      <w:r>
        <w:t xml:space="preserve">Indien de werkgever een externe instantie op de hoogte brengt of heeft gebracht, stuurt hij ook de hiervoor bedoelde reactie van de melder op het onderzoeksrapport en het standpunt van de werkgever aan die externe instantie toe. De melder ontvangt hiervan een afschrift. </w:t>
      </w:r>
    </w:p>
    <w:p w14:paraId="60675EF5" w14:textId="77777777" w:rsidR="00613559" w:rsidRDefault="00A510C6">
      <w:pPr>
        <w:spacing w:after="34" w:line="259" w:lineRule="auto"/>
        <w:ind w:left="0" w:firstLine="0"/>
      </w:pPr>
      <w:r>
        <w:rPr>
          <w:b/>
        </w:rPr>
        <w:t xml:space="preserve"> </w:t>
      </w:r>
    </w:p>
    <w:p w14:paraId="3DEF819A" w14:textId="77777777" w:rsidR="00613559" w:rsidRDefault="00613559">
      <w:pPr>
        <w:spacing w:after="31" w:line="259" w:lineRule="auto"/>
        <w:ind w:left="0" w:firstLine="0"/>
      </w:pPr>
    </w:p>
    <w:p w14:paraId="284BCEFB" w14:textId="0C8B6B41" w:rsidR="00613559" w:rsidRDefault="00A510C6" w:rsidP="0061491C">
      <w:pPr>
        <w:pStyle w:val="Kop1"/>
        <w:ind w:left="-5"/>
      </w:pPr>
      <w:r>
        <w:t>Artikel 1</w:t>
      </w:r>
      <w:r w:rsidR="00995B32">
        <w:t>3</w:t>
      </w:r>
      <w:r>
        <w:t xml:space="preserve">. Intern en extern onderzoek naar benadeling van de melder </w:t>
      </w:r>
    </w:p>
    <w:p w14:paraId="7F504B72" w14:textId="73431485" w:rsidR="00613559" w:rsidRDefault="00A510C6">
      <w:pPr>
        <w:numPr>
          <w:ilvl w:val="0"/>
          <w:numId w:val="16"/>
        </w:numPr>
        <w:ind w:hanging="360"/>
      </w:pPr>
      <w:r>
        <w:t xml:space="preserve">De melder die meent dat sprake is van benadeling in verband met het doen van een melding van een vermoeden van een misstand, kan de hoogste leidinggevende verzoeken om onderzoek te doen naar de wijze waarop er binnen de organisatie met hem wordt omgegaan. </w:t>
      </w:r>
    </w:p>
    <w:p w14:paraId="466B5391" w14:textId="7992C189" w:rsidR="00613559" w:rsidRDefault="00A510C6">
      <w:pPr>
        <w:numPr>
          <w:ilvl w:val="0"/>
          <w:numId w:val="16"/>
        </w:numPr>
        <w:ind w:hanging="360"/>
      </w:pPr>
      <w:r>
        <w:t xml:space="preserve">De artikelen 10 t/m 13 zijn van overeenkomstige toepassing. </w:t>
      </w:r>
    </w:p>
    <w:p w14:paraId="0D9DB855" w14:textId="1832DBEC" w:rsidR="00613559" w:rsidRDefault="00A510C6">
      <w:pPr>
        <w:numPr>
          <w:ilvl w:val="0"/>
          <w:numId w:val="16"/>
        </w:numPr>
        <w:ind w:hanging="360"/>
      </w:pPr>
      <w:r>
        <w:lastRenderedPageBreak/>
        <w:t xml:space="preserve">De melder kan ook de afdeling onderzoek van het Huis voor Klokkenluiders verzoeken om een onderzoek in te stellen naar de wijze waarop de werkgever zich jegens hem heeft gedragen naar aanleiding van de melding van een vermoeden van een misstand. </w:t>
      </w:r>
    </w:p>
    <w:p w14:paraId="76B559BC" w14:textId="77777777" w:rsidR="00613559" w:rsidRDefault="00A510C6">
      <w:pPr>
        <w:spacing w:after="33" w:line="259" w:lineRule="auto"/>
        <w:ind w:left="0" w:firstLine="0"/>
      </w:pPr>
      <w:r>
        <w:t xml:space="preserve"> </w:t>
      </w:r>
    </w:p>
    <w:p w14:paraId="26407EBB" w14:textId="4E8A59F7" w:rsidR="00613559" w:rsidRDefault="00A510C6" w:rsidP="0061491C">
      <w:pPr>
        <w:pStyle w:val="Kop1"/>
        <w:ind w:left="-5"/>
      </w:pPr>
      <w:r>
        <w:t>Artikel 1</w:t>
      </w:r>
      <w:r w:rsidR="00995B32">
        <w:t>4</w:t>
      </w:r>
      <w:r>
        <w:t xml:space="preserve">. Publicatie, rapportage en evaluatie </w:t>
      </w:r>
    </w:p>
    <w:p w14:paraId="134A821C" w14:textId="6738FE31" w:rsidR="00613559" w:rsidRDefault="00A510C6">
      <w:pPr>
        <w:numPr>
          <w:ilvl w:val="0"/>
          <w:numId w:val="17"/>
        </w:numPr>
        <w:ind w:hanging="360"/>
      </w:pPr>
      <w:r>
        <w:t>De hoogste leidinggevende draagt er zorg voor dat deze regeling wordt gepubliceerd op het intranet en openbaar wordt gemaakt op de website van de werkgever</w:t>
      </w:r>
      <w:r w:rsidR="007039CE">
        <w:rPr>
          <w:rStyle w:val="Voetnootmarkering"/>
        </w:rPr>
        <w:footnoteReference w:id="27"/>
      </w:r>
      <w:r>
        <w:t xml:space="preserve">. </w:t>
      </w:r>
    </w:p>
    <w:p w14:paraId="2C6E2C2A" w14:textId="6BA78A3A" w:rsidR="00613559" w:rsidRDefault="00A510C6">
      <w:pPr>
        <w:numPr>
          <w:ilvl w:val="0"/>
          <w:numId w:val="17"/>
        </w:numPr>
        <w:ind w:hanging="360"/>
      </w:pPr>
      <w:r>
        <w:t xml:space="preserve">De hoogste leidinggevende stelt jaarlijks een rapportage op over het beleid aangaande het omgaan met het melden van vermoedens van misstanden en onregelmatigheden en de uitvoering van deze regeling. Deze rapportage bevat in ieder geval: </w:t>
      </w:r>
    </w:p>
    <w:p w14:paraId="19A0FF62" w14:textId="5717BCBC" w:rsidR="00613559" w:rsidRDefault="00A510C6">
      <w:pPr>
        <w:numPr>
          <w:ilvl w:val="1"/>
          <w:numId w:val="17"/>
        </w:numPr>
        <w:ind w:hanging="360"/>
      </w:pPr>
      <w:r>
        <w:t xml:space="preserve">informatie over de in het afgelopen jaar gevoerde beleid aangaande het omgaan met het melden van vermoedens van misstanden en onregelmatigheden en het in het komende jaar te voeren beleid op dit vlak; </w:t>
      </w:r>
    </w:p>
    <w:p w14:paraId="507207F3" w14:textId="499B8951" w:rsidR="00613559" w:rsidRDefault="00A510C6">
      <w:pPr>
        <w:numPr>
          <w:ilvl w:val="1"/>
          <w:numId w:val="17"/>
        </w:numPr>
        <w:ind w:hanging="360"/>
      </w:pPr>
      <w:r>
        <w:t xml:space="preserve">informatie over het aantal meldingen en een indicatie van de aard van de meldingen, de uitkomsten van de onderzoeken en de standpunten van de werkgever; </w:t>
      </w:r>
    </w:p>
    <w:p w14:paraId="41A7DBB4" w14:textId="12BA0ABB" w:rsidR="00613559" w:rsidRDefault="00A510C6">
      <w:pPr>
        <w:numPr>
          <w:ilvl w:val="1"/>
          <w:numId w:val="17"/>
        </w:numPr>
        <w:ind w:hanging="360"/>
      </w:pPr>
      <w:r>
        <w:t xml:space="preserve">algemene informatie over de ervaringen met het tegengaan van benadeling van de melder; </w:t>
      </w:r>
    </w:p>
    <w:p w14:paraId="5FA46DD8" w14:textId="342EE568" w:rsidR="00613559" w:rsidRDefault="00A510C6">
      <w:pPr>
        <w:numPr>
          <w:ilvl w:val="1"/>
          <w:numId w:val="17"/>
        </w:numPr>
        <w:ind w:hanging="360"/>
      </w:pPr>
      <w:r>
        <w:t xml:space="preserve">informatie over het aantal verzoeken om onderzoek naar benadeling in verband met het doen van een melding van een vermoeden van een misstand en een indicatie van de uitkomsten van de onderzoeken en de standpunten van de werkgever. </w:t>
      </w:r>
    </w:p>
    <w:p w14:paraId="4216CF0F" w14:textId="6F3F8033" w:rsidR="00613559" w:rsidRDefault="00A510C6">
      <w:pPr>
        <w:numPr>
          <w:ilvl w:val="0"/>
          <w:numId w:val="17"/>
        </w:numPr>
        <w:spacing w:after="3" w:line="294" w:lineRule="auto"/>
        <w:ind w:hanging="360"/>
      </w:pPr>
      <w:r>
        <w:t xml:space="preserve">De hoogste leidinggevende stuurt het concept voor de in het vorige lid bedoelde rapportage ter bespreking aan de Ondernemingsraad, waarna dit in een overlegvergadering met de Ondernemingsraad wordt besproken. </w:t>
      </w:r>
    </w:p>
    <w:p w14:paraId="00125941" w14:textId="50B4DF66" w:rsidR="00613559" w:rsidRDefault="00A510C6">
      <w:pPr>
        <w:numPr>
          <w:ilvl w:val="0"/>
          <w:numId w:val="17"/>
        </w:numPr>
        <w:ind w:hanging="360"/>
      </w:pPr>
      <w:r>
        <w:t xml:space="preserve">De hoogste leidinggevende stelt de Ondernemingsraad in de gelegenheid zijn standpunt over het beleid aangaande het omgaan met het melden van vermoedens van misstanden en onregelmatigheden, de uitvoering van deze regeling, en de rapportage kenbaar te maken. De hoogste leidinggevende draagt zorg voor verwerking van het standpunt van de Ondernemingsraad in de rapportage, en legt deze verwerking ter goedkeuring aan de Ondernemingsraad voor. </w:t>
      </w:r>
    </w:p>
    <w:p w14:paraId="5AF6CE2E" w14:textId="77777777" w:rsidR="00613559" w:rsidRDefault="00A510C6">
      <w:pPr>
        <w:spacing w:after="33" w:line="259" w:lineRule="auto"/>
        <w:ind w:left="0" w:firstLine="0"/>
      </w:pPr>
      <w:r>
        <w:t xml:space="preserve"> </w:t>
      </w:r>
    </w:p>
    <w:p w14:paraId="4950A410" w14:textId="2CAA447B" w:rsidR="00613559" w:rsidRDefault="00A510C6">
      <w:pPr>
        <w:pStyle w:val="Kop1"/>
        <w:ind w:left="-5"/>
      </w:pPr>
      <w:r>
        <w:t>Artikel 1</w:t>
      </w:r>
      <w:r w:rsidR="00995B32">
        <w:t>5</w:t>
      </w:r>
      <w:r>
        <w:t xml:space="preserve">. Inwerkingtreding regeling en intrekking vigerende regeling </w:t>
      </w:r>
    </w:p>
    <w:p w14:paraId="35B2C9C3" w14:textId="2A606327" w:rsidR="00613559" w:rsidRDefault="00A510C6">
      <w:pPr>
        <w:numPr>
          <w:ilvl w:val="0"/>
          <w:numId w:val="18"/>
        </w:numPr>
        <w:ind w:hanging="360"/>
      </w:pPr>
      <w:r>
        <w:t xml:space="preserve">Deze regeling treedt in werking op </w:t>
      </w:r>
      <w:r>
        <w:rPr>
          <w:b/>
        </w:rPr>
        <w:t>[</w:t>
      </w:r>
      <w:r w:rsidRPr="00FD74EB">
        <w:rPr>
          <w:b/>
          <w:highlight w:val="yellow"/>
        </w:rPr>
        <w:t>datum</w:t>
      </w:r>
      <w:r>
        <w:rPr>
          <w:b/>
        </w:rPr>
        <w:t>]</w:t>
      </w:r>
      <w:r>
        <w:t xml:space="preserve">. </w:t>
      </w:r>
    </w:p>
    <w:p w14:paraId="26F3106A" w14:textId="1B11DDCE" w:rsidR="00613559" w:rsidRDefault="00A510C6">
      <w:pPr>
        <w:numPr>
          <w:ilvl w:val="0"/>
          <w:numId w:val="18"/>
        </w:numPr>
        <w:spacing w:after="59"/>
        <w:ind w:hanging="360"/>
      </w:pPr>
      <w:r>
        <w:t xml:space="preserve">Deze regeling wordt aangehaald als de regeling voor het melden van een vermoeden van een misstand </w:t>
      </w:r>
      <w:r w:rsidRPr="00BA07F6">
        <w:rPr>
          <w:i/>
        </w:rPr>
        <w:t>of onregelmatigheid</w:t>
      </w:r>
      <w:r>
        <w:t xml:space="preserve"> bij </w:t>
      </w:r>
      <w:r>
        <w:rPr>
          <w:b/>
        </w:rPr>
        <w:t>[naam organisatie]</w:t>
      </w:r>
      <w:r>
        <w:t xml:space="preserve">, of kortweg regeling omgaan met melden vermoeden misstand </w:t>
      </w:r>
      <w:r w:rsidRPr="00BA07F6">
        <w:rPr>
          <w:i/>
        </w:rPr>
        <w:t>of onregelmatigheid</w:t>
      </w:r>
      <w:r>
        <w:t xml:space="preserve"> </w:t>
      </w:r>
      <w:r>
        <w:rPr>
          <w:b/>
        </w:rPr>
        <w:t>[naam organisatie]</w:t>
      </w:r>
      <w:r>
        <w:t xml:space="preserve">. </w:t>
      </w:r>
    </w:p>
    <w:p w14:paraId="55C96C6D" w14:textId="0A2690C5" w:rsidR="00613559" w:rsidRDefault="00A510C6">
      <w:pPr>
        <w:numPr>
          <w:ilvl w:val="0"/>
          <w:numId w:val="18"/>
        </w:numPr>
        <w:ind w:hanging="360"/>
      </w:pPr>
      <w:r>
        <w:t xml:space="preserve">De regeling </w:t>
      </w:r>
      <w:r>
        <w:rPr>
          <w:b/>
        </w:rPr>
        <w:t>[naam vigerende regeling]</w:t>
      </w:r>
      <w:r>
        <w:t xml:space="preserve"> wordt </w:t>
      </w:r>
      <w:r w:rsidR="006F1DF9" w:rsidRPr="00CD13E4">
        <w:rPr>
          <w:highlight w:val="yellow"/>
        </w:rPr>
        <w:t>[</w:t>
      </w:r>
      <w:r w:rsidR="006F1DF9" w:rsidRPr="008B3E6E">
        <w:rPr>
          <w:highlight w:val="yellow"/>
        </w:rPr>
        <w:t>INVULLEN (de in lid 1 van dit artikel genoemde datum)]</w:t>
      </w:r>
      <w:r w:rsidR="006F1DF9">
        <w:t xml:space="preserve"> </w:t>
      </w:r>
      <w:r>
        <w:t xml:space="preserve">ingetrokken. </w:t>
      </w:r>
      <w:r>
        <w:rPr>
          <w:sz w:val="28"/>
        </w:rPr>
        <w:t xml:space="preserve"> </w:t>
      </w:r>
      <w:r>
        <w:rPr>
          <w:sz w:val="28"/>
        </w:rPr>
        <w:tab/>
        <w:t xml:space="preserve"> </w:t>
      </w:r>
    </w:p>
    <w:p w14:paraId="2B517B19" w14:textId="02EDEE2D" w:rsidR="00613559" w:rsidRDefault="00A510C6" w:rsidP="007039CE">
      <w:pPr>
        <w:spacing w:line="231" w:lineRule="auto"/>
        <w:ind w:left="-5"/>
      </w:pPr>
      <w:r>
        <w:t xml:space="preserve"> </w:t>
      </w:r>
    </w:p>
    <w:p w14:paraId="7CD6D99A" w14:textId="58386734" w:rsidR="00252B83" w:rsidRDefault="00252B83" w:rsidP="007039CE">
      <w:pPr>
        <w:spacing w:line="231" w:lineRule="auto"/>
        <w:ind w:left="-5"/>
      </w:pPr>
    </w:p>
    <w:p w14:paraId="75D485BF" w14:textId="77777777" w:rsidR="006F1DF9" w:rsidRDefault="006F1DF9" w:rsidP="00D8669D">
      <w:pPr>
        <w:widowControl w:val="0"/>
        <w:overflowPunct w:val="0"/>
        <w:autoSpaceDE w:val="0"/>
        <w:autoSpaceDN w:val="0"/>
        <w:adjustRightInd w:val="0"/>
        <w:spacing w:after="0" w:line="312" w:lineRule="auto"/>
        <w:ind w:left="0" w:firstLine="0"/>
      </w:pPr>
    </w:p>
    <w:sectPr w:rsidR="006F1DF9" w:rsidSect="009E5460">
      <w:headerReference w:type="even" r:id="rId11"/>
      <w:headerReference w:type="default" r:id="rId12"/>
      <w:footerReference w:type="even" r:id="rId13"/>
      <w:footerReference w:type="default" r:id="rId14"/>
      <w:headerReference w:type="first" r:id="rId15"/>
      <w:footerReference w:type="first" r:id="rId16"/>
      <w:pgSz w:w="11906" w:h="16838"/>
      <w:pgMar w:top="1388" w:right="1426" w:bottom="1434" w:left="1419"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7339" w14:textId="77777777" w:rsidR="009F178E" w:rsidRDefault="009F178E">
      <w:pPr>
        <w:spacing w:after="0" w:line="240" w:lineRule="auto"/>
      </w:pPr>
      <w:r>
        <w:separator/>
      </w:r>
    </w:p>
  </w:endnote>
  <w:endnote w:type="continuationSeparator" w:id="0">
    <w:p w14:paraId="108E00BE" w14:textId="77777777" w:rsidR="009F178E" w:rsidRDefault="009F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921" w14:textId="77777777" w:rsidR="006717B5" w:rsidRDefault="006717B5">
    <w:pPr>
      <w:spacing w:after="0" w:line="259" w:lineRule="auto"/>
      <w:ind w:left="0" w:right="-11" w:firstLine="0"/>
      <w:jc w:val="right"/>
    </w:pPr>
    <w:r>
      <w:fldChar w:fldCharType="begin"/>
    </w:r>
    <w:r>
      <w:instrText xml:space="preserve"> PAGE   \* MERGEFORMAT </w:instrText>
    </w:r>
    <w:r>
      <w:fldChar w:fldCharType="separate"/>
    </w:r>
    <w:r w:rsidRPr="00D33891">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9C45" w14:textId="77777777" w:rsidR="006717B5" w:rsidRDefault="006717B5">
    <w:pPr>
      <w:spacing w:after="0" w:line="259" w:lineRule="auto"/>
      <w:ind w:left="0" w:right="-11" w:firstLine="0"/>
      <w:jc w:val="right"/>
    </w:pPr>
    <w:r>
      <w:fldChar w:fldCharType="begin"/>
    </w:r>
    <w:r>
      <w:instrText xml:space="preserve"> PAGE   \* MERGEFORMAT </w:instrText>
    </w:r>
    <w:r>
      <w:fldChar w:fldCharType="separate"/>
    </w:r>
    <w:r w:rsidR="001F012E" w:rsidRPr="001F012E">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52A9" w14:textId="77777777" w:rsidR="006717B5" w:rsidRDefault="006717B5">
    <w:pPr>
      <w:spacing w:after="0" w:line="259" w:lineRule="auto"/>
      <w:ind w:left="0" w:right="-11" w:firstLine="0"/>
      <w:jc w:val="right"/>
    </w:pPr>
    <w:r>
      <w:fldChar w:fldCharType="begin"/>
    </w:r>
    <w:r>
      <w:instrText xml:space="preserve"> PAGE   \* MERGEFORMAT </w:instrText>
    </w:r>
    <w:r>
      <w:fldChar w:fldCharType="separate"/>
    </w:r>
    <w:r w:rsidR="001F012E" w:rsidRPr="001F012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067A" w14:textId="77777777" w:rsidR="009F178E" w:rsidRDefault="009F178E">
      <w:pPr>
        <w:spacing w:after="0" w:line="240" w:lineRule="auto"/>
      </w:pPr>
      <w:r>
        <w:separator/>
      </w:r>
    </w:p>
  </w:footnote>
  <w:footnote w:type="continuationSeparator" w:id="0">
    <w:p w14:paraId="28F8F2E9" w14:textId="77777777" w:rsidR="009F178E" w:rsidRDefault="009F178E">
      <w:pPr>
        <w:spacing w:after="0" w:line="240" w:lineRule="auto"/>
      </w:pPr>
      <w:r>
        <w:continuationSeparator/>
      </w:r>
    </w:p>
  </w:footnote>
  <w:footnote w:id="1">
    <w:p w14:paraId="099FD7B9" w14:textId="77777777" w:rsidR="006717B5" w:rsidRPr="00791688" w:rsidRDefault="006717B5">
      <w:pPr>
        <w:pStyle w:val="Voetnoottekst"/>
        <w:rPr>
          <w:sz w:val="16"/>
          <w:szCs w:val="16"/>
        </w:rPr>
      </w:pPr>
      <w:r>
        <w:rPr>
          <w:rStyle w:val="Voetnootmarkering"/>
        </w:rPr>
        <w:footnoteRef/>
      </w:r>
      <w:r>
        <w:t xml:space="preserve"> </w:t>
      </w:r>
      <w:r>
        <w:rPr>
          <w:sz w:val="16"/>
          <w:szCs w:val="16"/>
        </w:rPr>
        <w:t>Gecursiveerde woorden zijn facultatief (en kunnen worden weggelaten).</w:t>
      </w:r>
    </w:p>
  </w:footnote>
  <w:footnote w:id="2">
    <w:p w14:paraId="7F1311A6" w14:textId="094BADB6" w:rsidR="002A3729" w:rsidRPr="00BA4868" w:rsidRDefault="002A3729">
      <w:pPr>
        <w:pStyle w:val="Voetnoottekst"/>
        <w:rPr>
          <w:sz w:val="16"/>
          <w:szCs w:val="16"/>
        </w:rPr>
      </w:pPr>
      <w:r>
        <w:rPr>
          <w:rStyle w:val="Voetnootmarkering"/>
        </w:rPr>
        <w:footnoteRef/>
      </w:r>
      <w:r>
        <w:t xml:space="preserve"> </w:t>
      </w:r>
      <w:r w:rsidRPr="00BA4868">
        <w:rPr>
          <w:sz w:val="16"/>
          <w:szCs w:val="16"/>
        </w:rPr>
        <w:t>In artikel 2 van de Wet bescherming klokkenluiders staan meer eisen ten aanzien van de inhoud van een klokkenluidersregeling dan in artikel 2 van de 'oude' Wet Huis voor Klokkenluiders. Dat brengt met zich mee dat organisaties hun klokkenluidersregeling moeten aanpassen aan de eisen van Wet bescherming klokkenluiders. Dat hoeft door private werkgevers - zoals toegelaten instellingen - met 50 tot 249 werknemers niet meteen te gebeuren: zij moeten ervoor zorgen dat hun klokkenluidersregeling uiterlijk 17 december 2023 is aangepast aan de nieuwe eisen. Dat volgt uit artikel 21c van de Wet bescherming klokkenluiders.</w:t>
      </w:r>
    </w:p>
  </w:footnote>
  <w:footnote w:id="3">
    <w:p w14:paraId="3F005F7E" w14:textId="5E995AE6" w:rsidR="00032F33" w:rsidRPr="00032F33" w:rsidRDefault="00032F33">
      <w:pPr>
        <w:pStyle w:val="Voetnoottekst"/>
        <w:rPr>
          <w:sz w:val="16"/>
          <w:szCs w:val="16"/>
        </w:rPr>
      </w:pPr>
      <w:r w:rsidRPr="00032F33">
        <w:rPr>
          <w:rStyle w:val="Voetnootmarkering"/>
          <w:sz w:val="16"/>
          <w:szCs w:val="16"/>
        </w:rPr>
        <w:footnoteRef/>
      </w:r>
      <w:r w:rsidRPr="00032F33">
        <w:rPr>
          <w:sz w:val="16"/>
          <w:szCs w:val="16"/>
        </w:rPr>
        <w:t xml:space="preserve"> Dat volgt uit artikel 2 lid 7 van de Wet bescherming klokkenluiders.</w:t>
      </w:r>
    </w:p>
  </w:footnote>
  <w:footnote w:id="4">
    <w:p w14:paraId="0A0D12EA" w14:textId="77777777" w:rsidR="00C51F45" w:rsidRDefault="00C51F45" w:rsidP="00C51F45">
      <w:pPr>
        <w:pStyle w:val="Voetnoottekst"/>
      </w:pPr>
      <w:r>
        <w:rPr>
          <w:rStyle w:val="Voetnootmarkering"/>
        </w:rPr>
        <w:footnoteRef/>
      </w:r>
      <w:r>
        <w:t xml:space="preserve"> </w:t>
      </w:r>
      <w:r w:rsidRPr="00C92CF3">
        <w:rPr>
          <w:sz w:val="16"/>
          <w:szCs w:val="16"/>
        </w:rPr>
        <w:t xml:space="preserve">In de </w:t>
      </w:r>
      <w:bookmarkStart w:id="1" w:name="_Hlk129855200"/>
      <w:r w:rsidRPr="001E35EB">
        <w:rPr>
          <w:i/>
          <w:iCs/>
          <w:sz w:val="16"/>
          <w:szCs w:val="16"/>
        </w:rPr>
        <w:t>Wet bescherming klokkenluiders</w:t>
      </w:r>
      <w:bookmarkEnd w:id="1"/>
      <w:r w:rsidRPr="00C92CF3">
        <w:rPr>
          <w:sz w:val="16"/>
          <w:szCs w:val="16"/>
        </w:rPr>
        <w:t xml:space="preserve"> is vastgelegd dat de werknemer de mogelijkheid heeft om een adviseur in vertrouwen te raadplegen over een vermoeden van een misstand. De adviseur moet een persoon zijn die een geheimhoudingsplicht heeft. Hieronder vallen in ieder geval de vertrouwenspersoon, een adviseur van de afdeling advies van het Huis voor Klokkenluiders, een advocaat, een jurist van een vakbond, een jurist van een rechtsbijstandsverzekeraar en een bedrijfsarts.</w:t>
      </w:r>
      <w:r w:rsidRPr="00C92CF3">
        <w:t xml:space="preserve">  </w:t>
      </w:r>
    </w:p>
  </w:footnote>
  <w:footnote w:id="5">
    <w:p w14:paraId="0F4636C1" w14:textId="77777777" w:rsidR="00C51F45" w:rsidRPr="00A32FB6" w:rsidRDefault="00C51F45" w:rsidP="00C51F45">
      <w:pPr>
        <w:pStyle w:val="Voetnoottekst"/>
        <w:rPr>
          <w:sz w:val="16"/>
          <w:szCs w:val="16"/>
        </w:rPr>
      </w:pPr>
      <w:r>
        <w:rPr>
          <w:rStyle w:val="Voetnootmarkering"/>
        </w:rPr>
        <w:footnoteRef/>
      </w:r>
      <w:r>
        <w:t xml:space="preserve"> </w:t>
      </w:r>
      <w:r w:rsidRPr="00695B39">
        <w:rPr>
          <w:sz w:val="16"/>
          <w:szCs w:val="16"/>
          <w:highlight w:val="yellow"/>
        </w:rPr>
        <w:t>Een betrokken derde kan een collega zijn of familielid die in een werkgerelateerde context verbonden is met een melder, maar ook een rechtspersoon die eigendom is van de melder, waarvoor de melder werkt of waarmee de melder anderszins werkgerelateerd verbonden is.</w:t>
      </w:r>
    </w:p>
  </w:footnote>
  <w:footnote w:id="6">
    <w:p w14:paraId="462C8606" w14:textId="77777777" w:rsidR="008C7DFA" w:rsidRDefault="008C7DFA" w:rsidP="008C7DFA">
      <w:pPr>
        <w:pStyle w:val="Voetnoottekst"/>
      </w:pPr>
      <w:r>
        <w:rPr>
          <w:rStyle w:val="Voetnootmarkering"/>
        </w:rPr>
        <w:footnoteRef/>
      </w:r>
      <w:r>
        <w:t xml:space="preserve"> </w:t>
      </w:r>
      <w:r w:rsidRPr="00F42D37">
        <w:rPr>
          <w:sz w:val="16"/>
          <w:szCs w:val="16"/>
        </w:rPr>
        <w:t xml:space="preserve">De </w:t>
      </w:r>
      <w:r w:rsidRPr="00DF476E">
        <w:rPr>
          <w:i/>
          <w:iCs/>
          <w:sz w:val="16"/>
          <w:szCs w:val="16"/>
        </w:rPr>
        <w:t>Wet bescherming klokkenluiders</w:t>
      </w:r>
      <w:r w:rsidRPr="00F42D37">
        <w:rPr>
          <w:sz w:val="16"/>
          <w:szCs w:val="16"/>
        </w:rPr>
        <w:t xml:space="preserve"> schrijft het aanstellen van een contactpersoon niet voor. Het opnemen van een bepaling daarover is dus optioneel. Vooral in wat grotere, complexe organisaties is het aanstellen van een contactpersoon voor het tegengaan van benadeling van de melder aan te bevelen</w:t>
      </w:r>
      <w:r w:rsidRPr="00F42D37">
        <w:rPr>
          <w:sz w:val="18"/>
          <w:szCs w:val="18"/>
        </w:rPr>
        <w:t>.</w:t>
      </w:r>
    </w:p>
  </w:footnote>
  <w:footnote w:id="7">
    <w:p w14:paraId="37D10F2C" w14:textId="77777777" w:rsidR="00F1552D" w:rsidRPr="00695B39" w:rsidRDefault="00F1552D" w:rsidP="00F1552D">
      <w:pPr>
        <w:pStyle w:val="Voetnoottekst"/>
        <w:rPr>
          <w:sz w:val="16"/>
          <w:szCs w:val="16"/>
        </w:rPr>
      </w:pPr>
      <w:r>
        <w:rPr>
          <w:rStyle w:val="Voetnootmarkering"/>
        </w:rPr>
        <w:footnoteRef/>
      </w:r>
      <w:r>
        <w:t xml:space="preserve"> </w:t>
      </w:r>
      <w:r w:rsidRPr="00695B39">
        <w:rPr>
          <w:sz w:val="16"/>
          <w:szCs w:val="16"/>
          <w:highlight w:val="yellow"/>
        </w:rPr>
        <w:t>“Degene die een melder bijstaat” kan bijvoorbeeld de vertrouwensadviseur binnen een organisatie of een vakbondsvertegenwoordiger zijn.</w:t>
      </w:r>
    </w:p>
  </w:footnote>
  <w:footnote w:id="8">
    <w:p w14:paraId="4822A239" w14:textId="77777777" w:rsidR="00F1552D" w:rsidRDefault="00F1552D" w:rsidP="00F1552D">
      <w:pPr>
        <w:pStyle w:val="Voetnoottekst"/>
      </w:pPr>
      <w:r w:rsidRPr="00810485">
        <w:rPr>
          <w:rStyle w:val="Voetnootmarkering"/>
          <w:highlight w:val="yellow"/>
        </w:rPr>
        <w:footnoteRef/>
      </w:r>
      <w:r w:rsidRPr="00810485">
        <w:rPr>
          <w:highlight w:val="yellow"/>
        </w:rPr>
        <w:t xml:space="preserve"> </w:t>
      </w:r>
      <w:r w:rsidRPr="00810485">
        <w:rPr>
          <w:sz w:val="16"/>
          <w:szCs w:val="16"/>
          <w:highlight w:val="yellow"/>
        </w:rPr>
        <w:t xml:space="preserve">De </w:t>
      </w:r>
      <w:r w:rsidRPr="00810485">
        <w:rPr>
          <w:i/>
          <w:iCs/>
          <w:sz w:val="16"/>
          <w:szCs w:val="16"/>
          <w:highlight w:val="yellow"/>
        </w:rPr>
        <w:t xml:space="preserve">Wet </w:t>
      </w:r>
      <w:r w:rsidRPr="00DF476E">
        <w:rPr>
          <w:i/>
          <w:iCs/>
          <w:sz w:val="16"/>
          <w:szCs w:val="16"/>
          <w:highlight w:val="yellow"/>
        </w:rPr>
        <w:t>bescherming klokkenluiders</w:t>
      </w:r>
      <w:r w:rsidRPr="00DF476E">
        <w:rPr>
          <w:sz w:val="16"/>
          <w:szCs w:val="16"/>
          <w:highlight w:val="yellow"/>
        </w:rPr>
        <w:t xml:space="preserve"> bepaalt dat in de klokkenluidersregeling moet worden vastgelegd bij welke </w:t>
      </w:r>
      <w:r w:rsidRPr="00DF476E">
        <w:rPr>
          <w:i/>
          <w:iCs/>
          <w:sz w:val="16"/>
          <w:szCs w:val="16"/>
          <w:highlight w:val="yellow"/>
        </w:rPr>
        <w:t>onafhankelijke functionaris/ functionarissen</w:t>
      </w:r>
      <w:r w:rsidRPr="00DF476E">
        <w:rPr>
          <w:sz w:val="16"/>
          <w:szCs w:val="16"/>
          <w:highlight w:val="yellow"/>
        </w:rPr>
        <w:t xml:space="preserve"> het vermoeden van een misstand kan worden gemeld. </w:t>
      </w:r>
      <w:r>
        <w:rPr>
          <w:sz w:val="16"/>
          <w:szCs w:val="16"/>
          <w:highlight w:val="yellow"/>
        </w:rPr>
        <w:t>In dit modelreglement is gekozen voor de term “externe vertrouwenspersoon”. Deze onafhankelijke functionaris is een andere functionaris dan de interne vertrouwenspersoon.</w:t>
      </w:r>
    </w:p>
  </w:footnote>
  <w:footnote w:id="9">
    <w:p w14:paraId="1F48AEC9" w14:textId="77777777" w:rsidR="008C7DFA" w:rsidRDefault="008C7DFA" w:rsidP="008C7DFA">
      <w:pPr>
        <w:pStyle w:val="Voetnoottekst"/>
      </w:pPr>
      <w:r>
        <w:rPr>
          <w:rStyle w:val="Voetnootmarkering"/>
        </w:rPr>
        <w:footnoteRef/>
      </w:r>
      <w:r>
        <w:t xml:space="preserve"> </w:t>
      </w:r>
      <w:r w:rsidRPr="00F42D37">
        <w:rPr>
          <w:sz w:val="16"/>
          <w:szCs w:val="16"/>
        </w:rPr>
        <w:t>De hoogste leidinggevende, ofwel het orgaan of de persoon die de (dagelijkse) leiding heeft over de organisatie van de werkgever, is vaak de Raad van Bestuur, directie of directeur van de organisatie van de werkgever.</w:t>
      </w:r>
      <w:r w:rsidRPr="00F42D37">
        <w:t xml:space="preserve">  </w:t>
      </w:r>
    </w:p>
  </w:footnote>
  <w:footnote w:id="10">
    <w:p w14:paraId="6213B612" w14:textId="77777777" w:rsidR="008C7DFA" w:rsidRPr="00346B9C" w:rsidRDefault="008C7DFA" w:rsidP="008C7DFA">
      <w:pPr>
        <w:pStyle w:val="Voetnoottekst"/>
        <w:rPr>
          <w:sz w:val="16"/>
          <w:szCs w:val="16"/>
        </w:rPr>
      </w:pPr>
      <w:r w:rsidRPr="00695B39">
        <w:rPr>
          <w:rStyle w:val="Voetnootmarkering"/>
          <w:highlight w:val="yellow"/>
        </w:rPr>
        <w:footnoteRef/>
      </w:r>
      <w:r w:rsidRPr="00695B39">
        <w:rPr>
          <w:highlight w:val="yellow"/>
        </w:rPr>
        <w:t xml:space="preserve"> </w:t>
      </w:r>
      <w:r w:rsidRPr="00810485">
        <w:rPr>
          <w:sz w:val="16"/>
          <w:szCs w:val="16"/>
          <w:highlight w:val="yellow"/>
        </w:rPr>
        <w:t xml:space="preserve">Het begrip “melder” is in de </w:t>
      </w:r>
      <w:r w:rsidRPr="00810485">
        <w:rPr>
          <w:i/>
          <w:iCs/>
          <w:sz w:val="16"/>
          <w:szCs w:val="16"/>
          <w:highlight w:val="yellow"/>
        </w:rPr>
        <w:t>Wet bescherming klokkenluiders</w:t>
      </w:r>
      <w:r w:rsidRPr="00810485">
        <w:rPr>
          <w:sz w:val="16"/>
          <w:szCs w:val="16"/>
          <w:highlight w:val="yellow"/>
        </w:rPr>
        <w:t xml:space="preserve"> veel breder dan in de ‘oude’ W</w:t>
      </w:r>
      <w:r w:rsidRPr="003A3EEB">
        <w:rPr>
          <w:sz w:val="16"/>
          <w:szCs w:val="16"/>
          <w:highlight w:val="yellow"/>
        </w:rPr>
        <w:t xml:space="preserve">et </w:t>
      </w:r>
      <w:r w:rsidRPr="00810485">
        <w:rPr>
          <w:sz w:val="16"/>
          <w:szCs w:val="16"/>
          <w:highlight w:val="yellow"/>
        </w:rPr>
        <w:t>H</w:t>
      </w:r>
      <w:r w:rsidRPr="003A3EEB">
        <w:rPr>
          <w:sz w:val="16"/>
          <w:szCs w:val="16"/>
          <w:highlight w:val="yellow"/>
        </w:rPr>
        <w:t>uis voor klokkenluiders,</w:t>
      </w:r>
      <w:r w:rsidRPr="00810485">
        <w:rPr>
          <w:sz w:val="16"/>
          <w:szCs w:val="16"/>
          <w:highlight w:val="yellow"/>
        </w:rPr>
        <w:t xml:space="preserve"> toen in principe alleen de werknemer een melding kon doen. In de nieuwe regeling van de </w:t>
      </w:r>
      <w:r w:rsidRPr="00810485">
        <w:rPr>
          <w:i/>
          <w:iCs/>
          <w:sz w:val="16"/>
          <w:szCs w:val="16"/>
          <w:highlight w:val="yellow"/>
        </w:rPr>
        <w:t>Wet bescherming klokkenluiders</w:t>
      </w:r>
      <w:r w:rsidRPr="00810485">
        <w:rPr>
          <w:sz w:val="16"/>
          <w:szCs w:val="16"/>
          <w:highlight w:val="yellow"/>
        </w:rPr>
        <w:t xml:space="preserve"> kunnen naast de werknemer ook andere personen een melding doen, als zij activiteiten verrichten voor een werkgever, zoals zzp-ers, aannemers en onderaannemers, sollicitanten, leveranciers en bestuurders.</w:t>
      </w:r>
      <w:r w:rsidRPr="00956DCB">
        <w:rPr>
          <w:sz w:val="16"/>
          <w:szCs w:val="16"/>
        </w:rPr>
        <w:t xml:space="preserve"> </w:t>
      </w:r>
    </w:p>
  </w:footnote>
  <w:footnote w:id="11">
    <w:p w14:paraId="683A2D01" w14:textId="77777777" w:rsidR="00F1552D" w:rsidRDefault="00F1552D" w:rsidP="00F1552D">
      <w:pPr>
        <w:pStyle w:val="Voetnoottekst"/>
        <w:ind w:left="0" w:firstLine="0"/>
      </w:pPr>
      <w:r w:rsidRPr="008F7F03">
        <w:rPr>
          <w:rStyle w:val="Voetnootmarkering"/>
        </w:rPr>
        <w:footnoteRef/>
      </w:r>
      <w:r>
        <w:rPr>
          <w:sz w:val="16"/>
          <w:szCs w:val="16"/>
        </w:rPr>
        <w:t xml:space="preserve"> </w:t>
      </w:r>
      <w:r w:rsidRPr="00277821">
        <w:rPr>
          <w:sz w:val="16"/>
          <w:szCs w:val="16"/>
          <w:highlight w:val="yellow"/>
        </w:rPr>
        <w:t xml:space="preserve">Het gaat </w:t>
      </w:r>
      <w:r w:rsidRPr="00A12A78">
        <w:rPr>
          <w:sz w:val="16"/>
          <w:szCs w:val="16"/>
          <w:highlight w:val="yellow"/>
        </w:rPr>
        <w:t xml:space="preserve">hierbij over onderwerpen waarover de EU </w:t>
      </w:r>
      <w:r w:rsidRPr="00277821">
        <w:rPr>
          <w:sz w:val="16"/>
          <w:szCs w:val="16"/>
          <w:highlight w:val="yellow"/>
        </w:rPr>
        <w:t xml:space="preserve">richtlijnen of verordeningen heeft opgesteld, zoals (niet limitatief) </w:t>
      </w:r>
      <w:r w:rsidRPr="00A12A78">
        <w:rPr>
          <w:sz w:val="16"/>
          <w:szCs w:val="16"/>
          <w:highlight w:val="yellow"/>
        </w:rPr>
        <w:t xml:space="preserve">overheidsopdrachten, </w:t>
      </w:r>
      <w:r w:rsidRPr="00277821">
        <w:rPr>
          <w:sz w:val="16"/>
          <w:szCs w:val="16"/>
          <w:highlight w:val="yellow"/>
        </w:rPr>
        <w:t>voorkoming van witwassen van geld en terrorismefinanciering, bescherming van het milieu</w:t>
      </w:r>
      <w:r w:rsidRPr="00A12A78">
        <w:rPr>
          <w:sz w:val="16"/>
          <w:szCs w:val="16"/>
          <w:highlight w:val="yellow"/>
        </w:rPr>
        <w:t xml:space="preserve">, </w:t>
      </w:r>
      <w:r w:rsidRPr="00280036">
        <w:rPr>
          <w:sz w:val="16"/>
          <w:szCs w:val="16"/>
          <w:highlight w:val="yellow"/>
        </w:rPr>
        <w:t>volksgezondheid, en bescherming van de persoonlijke levenssfeer en persoonsgegevens.</w:t>
      </w:r>
    </w:p>
  </w:footnote>
  <w:footnote w:id="12">
    <w:p w14:paraId="1ADD5EAD" w14:textId="77777777" w:rsidR="00F1552D" w:rsidRPr="00216058" w:rsidRDefault="00F1552D" w:rsidP="00F1552D">
      <w:pPr>
        <w:pStyle w:val="Voetnoottekst"/>
        <w:rPr>
          <w:sz w:val="16"/>
          <w:szCs w:val="16"/>
        </w:rPr>
      </w:pPr>
      <w:r>
        <w:rPr>
          <w:rStyle w:val="Voetnootmarkering"/>
        </w:rPr>
        <w:footnoteRef/>
      </w:r>
      <w:r>
        <w:t xml:space="preserve"> </w:t>
      </w:r>
      <w:r w:rsidRPr="00216058">
        <w:rPr>
          <w:sz w:val="16"/>
          <w:szCs w:val="16"/>
        </w:rPr>
        <w:t xml:space="preserve">Wanneer bij een misstand het maatschappelijk belang in het geding is, kan niet in zijn algemeenheid worden gezegd en zal van geval tot geval moeten worden bekeken. Het gaat hier in principe om situaties die het niveau van een of enkele persoonlijke gevallen overstijgen, bijvoorbeeld doordat sprake is van een zekere mate van ernst of omvang of van een structureel karakter. </w:t>
      </w:r>
    </w:p>
    <w:p w14:paraId="3985C81F" w14:textId="77777777" w:rsidR="00F1552D" w:rsidRDefault="00F1552D" w:rsidP="00F1552D">
      <w:pPr>
        <w:pStyle w:val="Voetnoottekst"/>
      </w:pPr>
      <w:r w:rsidRPr="00216058">
        <w:rPr>
          <w:sz w:val="16"/>
          <w:szCs w:val="16"/>
        </w:rPr>
        <w:t xml:space="preserve"> Ter illustratie</w:t>
      </w:r>
      <w:r>
        <w:rPr>
          <w:sz w:val="16"/>
          <w:szCs w:val="16"/>
        </w:rPr>
        <w:t xml:space="preserve">: </w:t>
      </w:r>
      <w:r w:rsidRPr="00216058">
        <w:rPr>
          <w:sz w:val="16"/>
          <w:szCs w:val="16"/>
        </w:rPr>
        <w:t>Een diefstal van enkele zaken door één individu is nog geen misstand waarbij het maatschappelijk belang in het geding is. Het maatschappelijk belang kan echter wel in het geding komen als het gaat om meerdere diefstallen of dure zaken, zeker als de diefstallen worden gepleegd door werknemers die juist tot taak hebben die goederen te bewaken of als de diefstallen door de leiding van het bedrijf worden gedoogd of de leiding zelf deelt in de buit.</w:t>
      </w:r>
    </w:p>
  </w:footnote>
  <w:footnote w:id="13">
    <w:p w14:paraId="16D7F0F0" w14:textId="553C7E43" w:rsidR="00F1552D" w:rsidRDefault="00F1552D" w:rsidP="00F1552D">
      <w:pPr>
        <w:pStyle w:val="Voetnoottekst"/>
      </w:pPr>
      <w:r>
        <w:rPr>
          <w:rStyle w:val="Voetnootmarkering"/>
        </w:rPr>
        <w:footnoteRef/>
      </w:r>
      <w:r>
        <w:t xml:space="preserve"> </w:t>
      </w:r>
      <w:r w:rsidRPr="00241DBA">
        <w:rPr>
          <w:sz w:val="16"/>
          <w:szCs w:val="16"/>
        </w:rPr>
        <w:t xml:space="preserve">Zie noot </w:t>
      </w:r>
      <w:r w:rsidR="005C2394">
        <w:rPr>
          <w:sz w:val="16"/>
          <w:szCs w:val="16"/>
        </w:rPr>
        <w:t>11</w:t>
      </w:r>
      <w:r w:rsidRPr="00241DBA">
        <w:rPr>
          <w:sz w:val="16"/>
          <w:szCs w:val="16"/>
        </w:rPr>
        <w:t>.</w:t>
      </w:r>
    </w:p>
  </w:footnote>
  <w:footnote w:id="14">
    <w:p w14:paraId="013AA939" w14:textId="77777777" w:rsidR="00F1552D" w:rsidRDefault="00F1552D" w:rsidP="00F1552D">
      <w:pPr>
        <w:pStyle w:val="Voetnoottekst"/>
        <w:rPr>
          <w:sz w:val="16"/>
          <w:szCs w:val="16"/>
        </w:rPr>
      </w:pPr>
      <w:r>
        <w:rPr>
          <w:rStyle w:val="Voetnootmarkering"/>
        </w:rPr>
        <w:footnoteRef/>
      </w:r>
      <w:r>
        <w:t xml:space="preserve"> </w:t>
      </w:r>
      <w:r w:rsidRPr="00491BA6">
        <w:rPr>
          <w:sz w:val="16"/>
          <w:szCs w:val="16"/>
        </w:rPr>
        <w:t xml:space="preserve">Ten opzichte van de </w:t>
      </w:r>
      <w:r w:rsidRPr="00DF476E">
        <w:rPr>
          <w:i/>
          <w:iCs/>
          <w:sz w:val="16"/>
          <w:szCs w:val="16"/>
        </w:rPr>
        <w:t>Wet bescherming klokkenluiders</w:t>
      </w:r>
      <w:r w:rsidRPr="00491BA6">
        <w:rPr>
          <w:sz w:val="16"/>
          <w:szCs w:val="16"/>
        </w:rPr>
        <w:t xml:space="preserve"> is </w:t>
      </w:r>
      <w:r>
        <w:rPr>
          <w:sz w:val="16"/>
          <w:szCs w:val="16"/>
        </w:rPr>
        <w:t xml:space="preserve">aan deze modelregeling </w:t>
      </w:r>
      <w:r w:rsidRPr="00491BA6">
        <w:rPr>
          <w:sz w:val="16"/>
          <w:szCs w:val="16"/>
        </w:rPr>
        <w:t>de mogelijkheid toegevoegd om intern melding te doen van een vermoeden van een onregelmatigheid. Deze toevoeging is optioneel.</w:t>
      </w:r>
      <w:r>
        <w:rPr>
          <w:sz w:val="16"/>
          <w:szCs w:val="16"/>
        </w:rPr>
        <w:t xml:space="preserve"> </w:t>
      </w:r>
      <w:r w:rsidRPr="00812D3B">
        <w:rPr>
          <w:sz w:val="16"/>
          <w:szCs w:val="16"/>
        </w:rPr>
        <w:t>Een onregelmatigheid is minder ernstig van aard dan een misstand. Bij een onregelmatigheid gaat het om een onvolkomenheid of ongerechtigheid die niet zo ernstig is dat daarbij het maatschappelijk belang in het geding is.</w:t>
      </w:r>
      <w:r>
        <w:rPr>
          <w:sz w:val="16"/>
          <w:szCs w:val="16"/>
        </w:rPr>
        <w:t xml:space="preserve"> </w:t>
      </w:r>
      <w:r w:rsidRPr="003B481F">
        <w:rPr>
          <w:sz w:val="16"/>
          <w:szCs w:val="16"/>
        </w:rPr>
        <w:t xml:space="preserve">De mogelijkheid intern melding te doen van een vermoeden van een onregelmatigheid is toegevoegd: </w:t>
      </w:r>
    </w:p>
    <w:p w14:paraId="427AA402" w14:textId="77777777" w:rsidR="00F1552D" w:rsidRPr="003B481F" w:rsidRDefault="00F1552D" w:rsidP="00F1552D">
      <w:pPr>
        <w:pStyle w:val="Voetnoottekst"/>
        <w:rPr>
          <w:sz w:val="16"/>
          <w:szCs w:val="16"/>
        </w:rPr>
      </w:pPr>
      <w:r w:rsidRPr="003B481F">
        <w:rPr>
          <w:sz w:val="16"/>
          <w:szCs w:val="16"/>
        </w:rPr>
        <w:t xml:space="preserve">- omdat het in het belang is van zowel werkgever als werknemers indien werknemers hier intern melding van kunnen doen, zodat de werkgever in staat wordt gesteld het betreffende probleem op te lossen; en </w:t>
      </w:r>
    </w:p>
    <w:p w14:paraId="75F2B252" w14:textId="77777777" w:rsidR="00F1552D" w:rsidRPr="003B481F" w:rsidRDefault="00F1552D" w:rsidP="00F1552D">
      <w:pPr>
        <w:pStyle w:val="Voetnoottekst"/>
        <w:rPr>
          <w:sz w:val="16"/>
          <w:szCs w:val="16"/>
        </w:rPr>
      </w:pPr>
      <w:r w:rsidRPr="003B481F">
        <w:rPr>
          <w:sz w:val="16"/>
          <w:szCs w:val="16"/>
        </w:rPr>
        <w:t xml:space="preserve">- omdat het in overeenstemming is met het recht op vrije meningsuiting op de werkvloer dat de werkgever een werknemer die intern melding wil doen van een vermoede onregelmatigheid daar de mogelijkheid toe biedt en hem beschermt tegen benadeling in zijn arbeidspositie. </w:t>
      </w:r>
    </w:p>
    <w:p w14:paraId="7AAFF809" w14:textId="77777777" w:rsidR="00F1552D" w:rsidRDefault="00F1552D" w:rsidP="00F1552D">
      <w:pPr>
        <w:pStyle w:val="Voetnoottekst"/>
      </w:pPr>
      <w:r w:rsidRPr="003B481F">
        <w:rPr>
          <w:sz w:val="16"/>
          <w:szCs w:val="16"/>
        </w:rPr>
        <w:t xml:space="preserve">Indien de melding alleen betrekking heeft op een vermoeden van een onregelmatigheid en niet op een vermoeden van een misstand, voorziet deze regeling niet in de mogelijkheid een externe melding te doen. </w:t>
      </w:r>
    </w:p>
  </w:footnote>
  <w:footnote w:id="15">
    <w:p w14:paraId="54553452" w14:textId="77777777" w:rsidR="00F1552D" w:rsidRDefault="00F1552D" w:rsidP="00F1552D">
      <w:pPr>
        <w:pStyle w:val="Voetnoottekst"/>
      </w:pPr>
      <w:r>
        <w:rPr>
          <w:rStyle w:val="Voetnootmarkering"/>
        </w:rPr>
        <w:footnoteRef/>
      </w:r>
      <w:r>
        <w:t xml:space="preserve"> </w:t>
      </w:r>
      <w:r w:rsidRPr="00887CD7">
        <w:rPr>
          <w:sz w:val="16"/>
          <w:szCs w:val="16"/>
        </w:rPr>
        <w:t>Het vermoeden van een misstand moet gebaseerd zijn op redelijke gronden. Dat betekent dat de melder niet hoeft te bewijzen dat sprake is van een misstand, maar hij moet zijn vermoeden wel enigszins kunnen onderbouwen. Het vermoeden moet voldoende concreet zijn en zijn gebaseerd op eigen waarneming of documenten (bijvoorbeeld e-mails, verslagen, brieven, foto’s</w:t>
      </w:r>
      <w:r>
        <w:rPr>
          <w:sz w:val="16"/>
          <w:szCs w:val="16"/>
        </w:rPr>
        <w:t>,</w:t>
      </w:r>
      <w:r w:rsidRPr="00887CD7">
        <w:rPr>
          <w:sz w:val="16"/>
          <w:szCs w:val="16"/>
        </w:rPr>
        <w:t xml:space="preserve"> etc.). Verhalen van horen zeggen zijn bijvoorbeeld niet voldoende.</w:t>
      </w:r>
    </w:p>
  </w:footnote>
  <w:footnote w:id="16">
    <w:p w14:paraId="4049FE16" w14:textId="77777777" w:rsidR="00F1552D" w:rsidRDefault="00F1552D" w:rsidP="00F1552D">
      <w:pPr>
        <w:pStyle w:val="Voetnoottekst"/>
      </w:pPr>
      <w:r>
        <w:rPr>
          <w:rStyle w:val="Voetnootmarkering"/>
        </w:rPr>
        <w:footnoteRef/>
      </w:r>
      <w:r>
        <w:t xml:space="preserve"> </w:t>
      </w:r>
      <w:r>
        <w:rPr>
          <w:sz w:val="16"/>
          <w:szCs w:val="16"/>
        </w:rPr>
        <w:t>H</w:t>
      </w:r>
      <w:r w:rsidRPr="00864159">
        <w:rPr>
          <w:sz w:val="16"/>
          <w:szCs w:val="16"/>
        </w:rPr>
        <w:t xml:space="preserve">et aanstellen van een vertrouwenspersoon is op grond van de </w:t>
      </w:r>
      <w:r w:rsidRPr="00DF476E">
        <w:rPr>
          <w:i/>
          <w:iCs/>
          <w:sz w:val="16"/>
          <w:szCs w:val="16"/>
        </w:rPr>
        <w:t>Wet bescherming klokkenluiders</w:t>
      </w:r>
      <w:r w:rsidRPr="00864159">
        <w:rPr>
          <w:sz w:val="16"/>
          <w:szCs w:val="16"/>
        </w:rPr>
        <w:t xml:space="preserve"> niet verplicht. Afhankelijk van de aard en omvang van de organisatie kan de werkgever een interne vertrouwenspersoon en/of een externe vertrouwenspersoon kiezen.</w:t>
      </w:r>
    </w:p>
  </w:footnote>
  <w:footnote w:id="17">
    <w:p w14:paraId="4B14DFC2" w14:textId="77777777" w:rsidR="008C7DFA" w:rsidRDefault="008C7DFA" w:rsidP="008C7DFA">
      <w:pPr>
        <w:pStyle w:val="Voetnoottekst"/>
      </w:pPr>
      <w:r>
        <w:rPr>
          <w:rStyle w:val="Voetnootmarkering"/>
        </w:rPr>
        <w:footnoteRef/>
      </w:r>
      <w:r>
        <w:t xml:space="preserve"> </w:t>
      </w:r>
      <w:r w:rsidRPr="00695B39">
        <w:rPr>
          <w:sz w:val="16"/>
          <w:szCs w:val="16"/>
          <w:highlight w:val="yellow"/>
        </w:rPr>
        <w:t xml:space="preserve">Onder “werkgerelateerde context” vallen allerlei werksituaties. Daaronder vallen niet alleen werknemers, ambtenaren, zzp’ers, stagiairs, vrijwilligers en uitzendkrachten, maar ook (personen die werken onder verantwoordelijkheid van) leveranciers, aannemers en onderaannemers en personen in leidinggevende organen, zoals leden van een raad van commissarissen. Daaronder vallen ook “vroegere” werkrelaties </w:t>
      </w:r>
      <w:r w:rsidRPr="0050193D">
        <w:rPr>
          <w:sz w:val="16"/>
          <w:szCs w:val="16"/>
          <w:highlight w:val="yellow"/>
        </w:rPr>
        <w:t>(</w:t>
      </w:r>
      <w:r w:rsidRPr="00695B39">
        <w:rPr>
          <w:sz w:val="16"/>
          <w:szCs w:val="16"/>
          <w:highlight w:val="yellow"/>
        </w:rPr>
        <w:t>zoals oud-werknemers) en “toekomstige” werkrelatie</w:t>
      </w:r>
      <w:r>
        <w:rPr>
          <w:sz w:val="16"/>
          <w:szCs w:val="16"/>
          <w:highlight w:val="yellow"/>
        </w:rPr>
        <w:t>s (</w:t>
      </w:r>
      <w:r w:rsidRPr="00695B39">
        <w:rPr>
          <w:sz w:val="16"/>
          <w:szCs w:val="16"/>
          <w:highlight w:val="yellow"/>
        </w:rPr>
        <w:t>zoal</w:t>
      </w:r>
      <w:r>
        <w:rPr>
          <w:sz w:val="16"/>
          <w:szCs w:val="16"/>
          <w:highlight w:val="yellow"/>
        </w:rPr>
        <w:t xml:space="preserve">s </w:t>
      </w:r>
      <w:r w:rsidRPr="00695B39">
        <w:rPr>
          <w:sz w:val="16"/>
          <w:szCs w:val="16"/>
          <w:highlight w:val="yellow"/>
        </w:rPr>
        <w:t>sollicitanten</w:t>
      </w:r>
      <w:r>
        <w:rPr>
          <w:sz w:val="16"/>
          <w:szCs w:val="16"/>
          <w:highlight w:val="yellow"/>
        </w:rPr>
        <w:t>)</w:t>
      </w:r>
      <w:r w:rsidRPr="00695B39">
        <w:rPr>
          <w:sz w:val="16"/>
          <w:szCs w:val="16"/>
          <w:highlight w:val="yellow"/>
        </w:rPr>
        <w:t>.</w:t>
      </w:r>
      <w:r w:rsidRPr="00695B39">
        <w:rPr>
          <w:sz w:val="16"/>
          <w:szCs w:val="16"/>
        </w:rPr>
        <w:t xml:space="preserve"> </w:t>
      </w:r>
    </w:p>
  </w:footnote>
  <w:footnote w:id="18">
    <w:p w14:paraId="13D9F343" w14:textId="77777777" w:rsidR="00F1552D" w:rsidRPr="00346B9C" w:rsidRDefault="00F1552D" w:rsidP="00F1552D">
      <w:pPr>
        <w:pStyle w:val="Voetnoottekst"/>
        <w:rPr>
          <w:sz w:val="16"/>
          <w:szCs w:val="16"/>
        </w:rPr>
      </w:pPr>
      <w:r>
        <w:rPr>
          <w:rStyle w:val="Voetnootmarkering"/>
        </w:rPr>
        <w:footnoteRef/>
      </w:r>
      <w:r>
        <w:t xml:space="preserve"> </w:t>
      </w:r>
      <w:r w:rsidRPr="003336AF">
        <w:rPr>
          <w:sz w:val="16"/>
          <w:szCs w:val="16"/>
        </w:rPr>
        <w:t>Onder werknemer die ‘</w:t>
      </w:r>
      <w:r w:rsidRPr="001C38F6">
        <w:rPr>
          <w:sz w:val="16"/>
          <w:szCs w:val="16"/>
        </w:rPr>
        <w:t xml:space="preserve">anderszins in een ondergeschiktheidsrelatie tegen een vergoeding arbeid verricht’ vallen in ieder geval stagiaires en vrijwilligers (mits zij een vergoeding ontvangen voor hun werkzaamheden). </w:t>
      </w:r>
      <w:r>
        <w:rPr>
          <w:sz w:val="16"/>
          <w:szCs w:val="16"/>
        </w:rPr>
        <w:t>/</w:t>
      </w:r>
    </w:p>
  </w:footnote>
  <w:footnote w:id="19">
    <w:p w14:paraId="2B3CE44C" w14:textId="0493414A" w:rsidR="006717B5" w:rsidRDefault="006717B5">
      <w:pPr>
        <w:pStyle w:val="Voetnoottekst"/>
      </w:pPr>
      <w:r>
        <w:rPr>
          <w:rStyle w:val="Voetnootmarkering"/>
        </w:rPr>
        <w:footnoteRef/>
      </w:r>
      <w:r>
        <w:t xml:space="preserve"> </w:t>
      </w:r>
      <w:r w:rsidRPr="00CC70A6">
        <w:rPr>
          <w:sz w:val="16"/>
          <w:szCs w:val="16"/>
        </w:rPr>
        <w:t xml:space="preserve">Het zorgen voor een goede bescherming van de melder tegen benadeling is een van de basisvoorwaarden voor het goed en zorgvuldig omgaan met het melden van een vermoeden van een misstand of onregelmatigheid.  </w:t>
      </w:r>
    </w:p>
  </w:footnote>
  <w:footnote w:id="20">
    <w:p w14:paraId="5A0F0502" w14:textId="6F543D4B" w:rsidR="006717B5" w:rsidRPr="00BE01E7" w:rsidRDefault="006717B5">
      <w:pPr>
        <w:pStyle w:val="Voetnoottekst"/>
        <w:rPr>
          <w:sz w:val="16"/>
          <w:szCs w:val="16"/>
        </w:rPr>
      </w:pPr>
      <w:r>
        <w:rPr>
          <w:rStyle w:val="Voetnootmarkering"/>
        </w:rPr>
        <w:footnoteRef/>
      </w:r>
      <w:r>
        <w:t xml:space="preserve"> </w:t>
      </w:r>
      <w:r>
        <w:rPr>
          <w:sz w:val="16"/>
          <w:szCs w:val="16"/>
        </w:rPr>
        <w:t xml:space="preserve">Deze lijst is </w:t>
      </w:r>
      <w:r w:rsidR="00204A10" w:rsidRPr="00204A10">
        <w:rPr>
          <w:sz w:val="16"/>
          <w:szCs w:val="16"/>
        </w:rPr>
        <w:t xml:space="preserve">een aanvulling op de omschrijving van het begrip “benadeling” in artikel 1 onderdeel </w:t>
      </w:r>
      <w:r w:rsidR="005C2394">
        <w:rPr>
          <w:sz w:val="16"/>
          <w:szCs w:val="16"/>
        </w:rPr>
        <w:t>d</w:t>
      </w:r>
      <w:r w:rsidR="00204A10" w:rsidRPr="00204A10">
        <w:rPr>
          <w:sz w:val="16"/>
          <w:szCs w:val="16"/>
        </w:rPr>
        <w:t xml:space="preserve"> van deze modelregeling en</w:t>
      </w:r>
      <w:r w:rsidR="00204A10">
        <w:rPr>
          <w:sz w:val="16"/>
          <w:szCs w:val="16"/>
        </w:rPr>
        <w:t xml:space="preserve"> is</w:t>
      </w:r>
      <w:r w:rsidR="00204A10" w:rsidRPr="00204A10">
        <w:rPr>
          <w:sz w:val="16"/>
          <w:szCs w:val="16"/>
        </w:rPr>
        <w:t xml:space="preserve"> </w:t>
      </w:r>
      <w:r>
        <w:rPr>
          <w:sz w:val="16"/>
          <w:szCs w:val="16"/>
        </w:rPr>
        <w:t>niet-limitatief.</w:t>
      </w:r>
      <w:r w:rsidR="00877F6F">
        <w:rPr>
          <w:sz w:val="16"/>
          <w:szCs w:val="16"/>
        </w:rPr>
        <w:t xml:space="preserve"> </w:t>
      </w:r>
    </w:p>
  </w:footnote>
  <w:footnote w:id="21">
    <w:p w14:paraId="0D400FEC" w14:textId="71230E01" w:rsidR="006717B5" w:rsidRDefault="006717B5">
      <w:pPr>
        <w:pStyle w:val="Voetnoottekst"/>
      </w:pPr>
      <w:r>
        <w:rPr>
          <w:rStyle w:val="Voetnootmarkering"/>
        </w:rPr>
        <w:footnoteRef/>
      </w:r>
      <w:r>
        <w:t xml:space="preserve"> </w:t>
      </w:r>
      <w:r w:rsidRPr="00756203">
        <w:rPr>
          <w:sz w:val="16"/>
          <w:szCs w:val="16"/>
        </w:rPr>
        <w:t>Het is verplicht om vast te leggen hoe met een melding wordt omgegaan</w:t>
      </w:r>
      <w:r w:rsidR="00175A17">
        <w:rPr>
          <w:sz w:val="16"/>
          <w:szCs w:val="16"/>
        </w:rPr>
        <w:t xml:space="preserve">; ook is het verplicht om vast te leggen </w:t>
      </w:r>
      <w:r w:rsidR="006A4704">
        <w:rPr>
          <w:sz w:val="16"/>
          <w:szCs w:val="16"/>
        </w:rPr>
        <w:t xml:space="preserve">dat de melder binnen zeven dagen </w:t>
      </w:r>
      <w:r w:rsidR="00AA0174">
        <w:rPr>
          <w:sz w:val="16"/>
          <w:szCs w:val="16"/>
        </w:rPr>
        <w:t xml:space="preserve">na ontvangst van diens melding </w:t>
      </w:r>
      <w:r w:rsidR="006A4704">
        <w:rPr>
          <w:sz w:val="16"/>
          <w:szCs w:val="16"/>
        </w:rPr>
        <w:t xml:space="preserve">een ontvangstbevestiging </w:t>
      </w:r>
      <w:r w:rsidR="00AA0174">
        <w:rPr>
          <w:sz w:val="16"/>
          <w:szCs w:val="16"/>
        </w:rPr>
        <w:t>krijgt</w:t>
      </w:r>
      <w:r w:rsidRPr="00756203">
        <w:rPr>
          <w:sz w:val="16"/>
          <w:szCs w:val="16"/>
        </w:rPr>
        <w:t xml:space="preserve">. Het is echter niet verplicht de </w:t>
      </w:r>
      <w:r w:rsidR="00AA0174" w:rsidRPr="00AA0174">
        <w:rPr>
          <w:sz w:val="16"/>
          <w:szCs w:val="16"/>
        </w:rPr>
        <w:t xml:space="preserve">in dit artikel beschreven </w:t>
      </w:r>
      <w:r w:rsidRPr="00756203">
        <w:rPr>
          <w:sz w:val="16"/>
          <w:szCs w:val="16"/>
        </w:rPr>
        <w:t xml:space="preserve">procedure </w:t>
      </w:r>
      <w:r w:rsidR="00AA0174">
        <w:rPr>
          <w:sz w:val="16"/>
          <w:szCs w:val="16"/>
        </w:rPr>
        <w:t xml:space="preserve">volledig </w:t>
      </w:r>
      <w:r w:rsidRPr="00756203">
        <w:rPr>
          <w:sz w:val="16"/>
          <w:szCs w:val="16"/>
        </w:rPr>
        <w:t>over te nemen.</w:t>
      </w:r>
    </w:p>
  </w:footnote>
  <w:footnote w:id="22">
    <w:p w14:paraId="6DAF7D50" w14:textId="48304F57" w:rsidR="006717B5" w:rsidRDefault="006717B5">
      <w:pPr>
        <w:pStyle w:val="Voetnoottekst"/>
      </w:pPr>
      <w:r>
        <w:rPr>
          <w:rStyle w:val="Voetnootmarkering"/>
        </w:rPr>
        <w:footnoteRef/>
      </w:r>
      <w:r>
        <w:t xml:space="preserve"> </w:t>
      </w:r>
      <w:r w:rsidRPr="00756203">
        <w:rPr>
          <w:sz w:val="16"/>
          <w:szCs w:val="16"/>
        </w:rPr>
        <w:t>Het is verplicht om vast te leggen hoe met een melding wordt omgegaan. Het is echter niet verplicht deze procedure over te nemen.</w:t>
      </w:r>
    </w:p>
  </w:footnote>
  <w:footnote w:id="23">
    <w:p w14:paraId="00676931" w14:textId="5D0E7DCA" w:rsidR="006717B5" w:rsidRPr="004E0AF6" w:rsidRDefault="006717B5" w:rsidP="004E0AF6">
      <w:pPr>
        <w:pStyle w:val="Voetnoottekst"/>
        <w:rPr>
          <w:sz w:val="16"/>
          <w:szCs w:val="16"/>
        </w:rPr>
      </w:pPr>
      <w:r>
        <w:rPr>
          <w:rStyle w:val="Voetnootmarkering"/>
        </w:rPr>
        <w:footnoteRef/>
      </w:r>
      <w:r>
        <w:t xml:space="preserve"> </w:t>
      </w:r>
      <w:r w:rsidRPr="004E0AF6">
        <w:rPr>
          <w:sz w:val="16"/>
          <w:szCs w:val="16"/>
        </w:rPr>
        <w:t xml:space="preserve">Bij de afweging of daar sprake van is, zal de werkgever moeten meewegen: </w:t>
      </w:r>
    </w:p>
    <w:p w14:paraId="1A3B2B7C" w14:textId="210365A5" w:rsidR="006717B5" w:rsidRPr="004E0AF6" w:rsidRDefault="006717B5" w:rsidP="004E0AF6">
      <w:pPr>
        <w:pStyle w:val="Voetnoottekst"/>
        <w:rPr>
          <w:sz w:val="16"/>
          <w:szCs w:val="16"/>
        </w:rPr>
      </w:pPr>
      <w:r w:rsidRPr="004E0AF6">
        <w:rPr>
          <w:sz w:val="16"/>
          <w:szCs w:val="16"/>
        </w:rPr>
        <w:t>-</w:t>
      </w:r>
      <w:r w:rsidRPr="004E0AF6">
        <w:rPr>
          <w:sz w:val="16"/>
          <w:szCs w:val="16"/>
        </w:rPr>
        <w:tab/>
        <w:t xml:space="preserve">dat de melder een gerechtvaardigd belang heeft om na te kunnen gaan of de kennisgeving aan de externe instantie goed en zorgvuldig geschiedt, en </w:t>
      </w:r>
    </w:p>
    <w:p w14:paraId="6AFFEDBE" w14:textId="753160BA" w:rsidR="006717B5" w:rsidRDefault="006717B5" w:rsidP="004E0AF6">
      <w:pPr>
        <w:pStyle w:val="Voetnoottekst"/>
      </w:pPr>
      <w:r w:rsidRPr="004E0AF6">
        <w:rPr>
          <w:sz w:val="16"/>
          <w:szCs w:val="16"/>
        </w:rPr>
        <w:t>-</w:t>
      </w:r>
      <w:r w:rsidRPr="004E0AF6">
        <w:rPr>
          <w:sz w:val="16"/>
          <w:szCs w:val="16"/>
        </w:rPr>
        <w:tab/>
        <w:t>dat de melder een geheimhoudingsplicht heeft tegenover de werkgever en de werkgever van de melder mag verwachten dat hij met alle gegevens en documenten die verband houden met de melding zorgvuldig omgaat.</w:t>
      </w:r>
    </w:p>
  </w:footnote>
  <w:footnote w:id="24">
    <w:p w14:paraId="775074FB" w14:textId="351E87D3" w:rsidR="006717B5" w:rsidRDefault="006717B5">
      <w:pPr>
        <w:pStyle w:val="Voetnoottekst"/>
      </w:pPr>
      <w:r>
        <w:rPr>
          <w:rStyle w:val="Voetnootmarkering"/>
        </w:rPr>
        <w:footnoteRef/>
      </w:r>
      <w:r>
        <w:t xml:space="preserve"> </w:t>
      </w:r>
      <w:r w:rsidRPr="00756203">
        <w:rPr>
          <w:sz w:val="16"/>
          <w:szCs w:val="16"/>
        </w:rPr>
        <w:t>Het is verplicht om vast te leggen hoe met een melding wordt omgegaan. Het is echter niet verplicht deze procedure over te nemen.</w:t>
      </w:r>
    </w:p>
  </w:footnote>
  <w:footnote w:id="25">
    <w:p w14:paraId="64A4C73A" w14:textId="51E0D6CC" w:rsidR="006717B5" w:rsidRDefault="006717B5">
      <w:pPr>
        <w:pStyle w:val="Voetnoottekst"/>
      </w:pPr>
      <w:r>
        <w:rPr>
          <w:rStyle w:val="Voetnootmarkering"/>
        </w:rPr>
        <w:footnoteRef/>
      </w:r>
      <w:r>
        <w:t xml:space="preserve"> </w:t>
      </w:r>
      <w:r w:rsidRPr="00756203">
        <w:rPr>
          <w:sz w:val="16"/>
          <w:szCs w:val="16"/>
        </w:rPr>
        <w:t xml:space="preserve">Het is verplicht om </w:t>
      </w:r>
      <w:r w:rsidR="00172B54">
        <w:rPr>
          <w:sz w:val="16"/>
          <w:szCs w:val="16"/>
        </w:rPr>
        <w:t xml:space="preserve">vast te leggen dat binnen een </w:t>
      </w:r>
      <w:r w:rsidR="00172B54" w:rsidRPr="00172B54">
        <w:rPr>
          <w:sz w:val="16"/>
          <w:szCs w:val="16"/>
        </w:rPr>
        <w:t xml:space="preserve">redelijke termijn </w:t>
      </w:r>
      <w:r w:rsidR="00172B54">
        <w:rPr>
          <w:sz w:val="16"/>
          <w:szCs w:val="16"/>
        </w:rPr>
        <w:t xml:space="preserve">- </w:t>
      </w:r>
      <w:r w:rsidR="00172B54" w:rsidRPr="00172B54">
        <w:rPr>
          <w:sz w:val="16"/>
          <w:szCs w:val="16"/>
        </w:rPr>
        <w:t>van ten hoogste drie maanden na verzending van de ontvangstbevestiging</w:t>
      </w:r>
      <w:r w:rsidR="00172B54">
        <w:rPr>
          <w:sz w:val="16"/>
          <w:szCs w:val="16"/>
        </w:rPr>
        <w:t xml:space="preserve"> van de melding - </w:t>
      </w:r>
      <w:r w:rsidR="00172B54" w:rsidRPr="00172B54">
        <w:rPr>
          <w:sz w:val="16"/>
          <w:szCs w:val="16"/>
        </w:rPr>
        <w:t>aan de melder informatie wordt verstrekt over de beoordeling</w:t>
      </w:r>
      <w:r w:rsidR="00172B54">
        <w:rPr>
          <w:sz w:val="16"/>
          <w:szCs w:val="16"/>
        </w:rPr>
        <w:t xml:space="preserve"> van d</w:t>
      </w:r>
      <w:r w:rsidR="00D839F7">
        <w:rPr>
          <w:sz w:val="16"/>
          <w:szCs w:val="16"/>
        </w:rPr>
        <w:t xml:space="preserve">e melding </w:t>
      </w:r>
      <w:r w:rsidR="00D839F7" w:rsidRPr="00D839F7">
        <w:rPr>
          <w:sz w:val="16"/>
          <w:szCs w:val="16"/>
        </w:rPr>
        <w:t xml:space="preserve">en </w:t>
      </w:r>
      <w:r w:rsidR="008A6D07">
        <w:rPr>
          <w:sz w:val="16"/>
          <w:szCs w:val="16"/>
        </w:rPr>
        <w:t>d</w:t>
      </w:r>
      <w:r w:rsidR="00D839F7" w:rsidRPr="00D839F7">
        <w:rPr>
          <w:sz w:val="16"/>
          <w:szCs w:val="16"/>
        </w:rPr>
        <w:t>e opvolging van de melding</w:t>
      </w:r>
      <w:r w:rsidRPr="00756203">
        <w:rPr>
          <w:sz w:val="16"/>
          <w:szCs w:val="16"/>
        </w:rPr>
        <w:t xml:space="preserve">. Het is echter niet verplicht de </w:t>
      </w:r>
      <w:r w:rsidR="00D839F7" w:rsidRPr="00D839F7">
        <w:rPr>
          <w:sz w:val="16"/>
          <w:szCs w:val="16"/>
        </w:rPr>
        <w:t xml:space="preserve">in dit artikel beschreven </w:t>
      </w:r>
      <w:r w:rsidRPr="00756203">
        <w:rPr>
          <w:sz w:val="16"/>
          <w:szCs w:val="16"/>
        </w:rPr>
        <w:t xml:space="preserve">procedure </w:t>
      </w:r>
      <w:r w:rsidR="00D839F7">
        <w:rPr>
          <w:sz w:val="16"/>
          <w:szCs w:val="16"/>
        </w:rPr>
        <w:t xml:space="preserve">volledig </w:t>
      </w:r>
      <w:r w:rsidRPr="00756203">
        <w:rPr>
          <w:sz w:val="16"/>
          <w:szCs w:val="16"/>
        </w:rPr>
        <w:t>over te nemen.</w:t>
      </w:r>
    </w:p>
  </w:footnote>
  <w:footnote w:id="26">
    <w:p w14:paraId="593FEE52" w14:textId="23D0BEF4" w:rsidR="00531171" w:rsidRPr="00DF476E" w:rsidRDefault="00531171" w:rsidP="00531171">
      <w:pPr>
        <w:pStyle w:val="Voetnoottekst"/>
        <w:rPr>
          <w:sz w:val="16"/>
          <w:szCs w:val="16"/>
        </w:rPr>
      </w:pPr>
      <w:r>
        <w:rPr>
          <w:rStyle w:val="Voetnootmarkering"/>
        </w:rPr>
        <w:footnoteRef/>
      </w:r>
      <w:r>
        <w:t xml:space="preserve"> </w:t>
      </w:r>
      <w:r w:rsidR="002B6AA4">
        <w:rPr>
          <w:sz w:val="16"/>
          <w:szCs w:val="16"/>
        </w:rPr>
        <w:t>De</w:t>
      </w:r>
      <w:r w:rsidR="001429E4">
        <w:rPr>
          <w:sz w:val="16"/>
          <w:szCs w:val="16"/>
        </w:rPr>
        <w:t xml:space="preserve"> </w:t>
      </w:r>
      <w:r w:rsidR="00D839F7">
        <w:rPr>
          <w:sz w:val="16"/>
          <w:szCs w:val="16"/>
        </w:rPr>
        <w:t xml:space="preserve">termijn waarbinnen de </w:t>
      </w:r>
      <w:r w:rsidR="001429E4">
        <w:rPr>
          <w:sz w:val="16"/>
          <w:szCs w:val="16"/>
        </w:rPr>
        <w:t xml:space="preserve">informatie over de beoordeling van de melding </w:t>
      </w:r>
      <w:r w:rsidR="00D839F7">
        <w:rPr>
          <w:sz w:val="16"/>
          <w:szCs w:val="16"/>
        </w:rPr>
        <w:t xml:space="preserve">moet worden verstrekt </w:t>
      </w:r>
      <w:r w:rsidR="001429E4">
        <w:rPr>
          <w:sz w:val="16"/>
          <w:szCs w:val="16"/>
        </w:rPr>
        <w:t xml:space="preserve">aan de melder </w:t>
      </w:r>
      <w:r w:rsidR="00D839F7">
        <w:rPr>
          <w:sz w:val="16"/>
          <w:szCs w:val="16"/>
        </w:rPr>
        <w:t xml:space="preserve">bedraagt </w:t>
      </w:r>
      <w:r w:rsidR="002B6AA4" w:rsidRPr="002B6AA4">
        <w:rPr>
          <w:sz w:val="16"/>
          <w:szCs w:val="16"/>
        </w:rPr>
        <w:t xml:space="preserve">ten hoogste drie maanden na verzending van de </w:t>
      </w:r>
      <w:r w:rsidR="001429E4">
        <w:rPr>
          <w:sz w:val="16"/>
          <w:szCs w:val="16"/>
        </w:rPr>
        <w:t>ontvangst</w:t>
      </w:r>
      <w:r w:rsidR="002B6AA4" w:rsidRPr="002B6AA4">
        <w:rPr>
          <w:sz w:val="16"/>
          <w:szCs w:val="16"/>
        </w:rPr>
        <w:t>bevestiging</w:t>
      </w:r>
      <w:r w:rsidR="001429E4">
        <w:rPr>
          <w:sz w:val="16"/>
          <w:szCs w:val="16"/>
        </w:rPr>
        <w:t xml:space="preserve"> van d</w:t>
      </w:r>
      <w:r w:rsidR="00D839F7">
        <w:rPr>
          <w:sz w:val="16"/>
          <w:szCs w:val="16"/>
        </w:rPr>
        <w:t>e</w:t>
      </w:r>
      <w:r w:rsidR="001429E4">
        <w:rPr>
          <w:sz w:val="16"/>
          <w:szCs w:val="16"/>
        </w:rPr>
        <w:t xml:space="preserve">. </w:t>
      </w:r>
      <w:r w:rsidR="00DE69CE">
        <w:rPr>
          <w:sz w:val="16"/>
          <w:szCs w:val="16"/>
        </w:rPr>
        <w:t xml:space="preserve">Er mag een kortere termijn in de regeling worden vastgelegd. </w:t>
      </w:r>
      <w:r w:rsidRPr="00DF476E">
        <w:rPr>
          <w:sz w:val="16"/>
          <w:szCs w:val="16"/>
        </w:rPr>
        <w:t>Een langere termijn dan drie maanden is niet toegestaan.</w:t>
      </w:r>
    </w:p>
  </w:footnote>
  <w:footnote w:id="27">
    <w:p w14:paraId="207BFAA0" w14:textId="5C3632BD" w:rsidR="006717B5" w:rsidRPr="007039CE" w:rsidRDefault="006717B5" w:rsidP="007039CE">
      <w:pPr>
        <w:pStyle w:val="Voetnoottekst"/>
        <w:rPr>
          <w:sz w:val="16"/>
          <w:szCs w:val="16"/>
        </w:rPr>
      </w:pPr>
      <w:r>
        <w:rPr>
          <w:rStyle w:val="Voetnootmarkering"/>
        </w:rPr>
        <w:footnoteRef/>
      </w:r>
      <w:r>
        <w:t xml:space="preserve"> </w:t>
      </w:r>
      <w:r w:rsidRPr="007039CE">
        <w:rPr>
          <w:sz w:val="16"/>
          <w:szCs w:val="16"/>
        </w:rPr>
        <w:t xml:space="preserve">Op grond van de </w:t>
      </w:r>
      <w:r w:rsidR="00995B32">
        <w:rPr>
          <w:sz w:val="16"/>
          <w:szCs w:val="16"/>
        </w:rPr>
        <w:t xml:space="preserve">Wet bescherming klokkenluiders </w:t>
      </w:r>
      <w:r w:rsidRPr="007039CE">
        <w:rPr>
          <w:sz w:val="16"/>
          <w:szCs w:val="16"/>
        </w:rPr>
        <w:t xml:space="preserve">is de werkgever verplicht aan de personen die bij hem werken, een schriftelijke of elektronische opgave te verstrekken van de procedure voor het omgaan met het melden van een vermoeden van een misstand binnen zijn organisatie. </w:t>
      </w:r>
    </w:p>
    <w:p w14:paraId="7C9A343D" w14:textId="4EA31FE4" w:rsidR="006717B5" w:rsidRDefault="006717B5" w:rsidP="007039CE">
      <w:pPr>
        <w:pStyle w:val="Voetnoottekst"/>
      </w:pPr>
      <w:r w:rsidRPr="007039CE">
        <w:rPr>
          <w:sz w:val="16"/>
          <w:szCs w:val="16"/>
        </w:rPr>
        <w:t xml:space="preserve"> Ex-werknemers, werknemers van de werkgever die anders dan uit dienstbetrekking arbeid verrichten en werknemers van een andere organisatie hebben echter meestal geen toegang (meer) tot het intranet van de werkgever. Daarom schrijft deze regeling ook het openbaar maken van de regeling op de website van de werkgever voor.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BA09" w14:textId="77777777" w:rsidR="006717B5" w:rsidRDefault="006717B5">
    <w:pPr>
      <w:spacing w:after="0" w:line="259" w:lineRule="auto"/>
      <w:ind w:left="9" w:firstLine="0"/>
      <w:jc w:val="center"/>
    </w:pPr>
    <w:r>
      <w:rPr>
        <w:sz w:val="16"/>
      </w:rPr>
      <w:t xml:space="preserve">Om snel te navigeren tussen modelregeling en toelichting: </w:t>
    </w:r>
  </w:p>
  <w:p w14:paraId="5B8EAFE7" w14:textId="77777777" w:rsidR="006717B5" w:rsidRDefault="006717B5">
    <w:pPr>
      <w:spacing w:after="0" w:line="259" w:lineRule="auto"/>
      <w:ind w:left="8" w:firstLine="0"/>
      <w:jc w:val="center"/>
    </w:pPr>
    <w:r>
      <w:rPr>
        <w:sz w:val="16"/>
      </w:rPr>
      <w:t xml:space="preserve">[Ctrl + muisklik] op artikelkopjes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ECCD" w14:textId="77777777" w:rsidR="006717B5" w:rsidRPr="007039CE" w:rsidRDefault="006717B5" w:rsidP="007039CE">
    <w:pPr>
      <w:pStyle w:val="Koptekst"/>
    </w:pPr>
    <w:r w:rsidRPr="007039C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523F" w14:textId="77777777" w:rsidR="006717B5" w:rsidRPr="007039CE" w:rsidRDefault="006717B5" w:rsidP="007039CE">
    <w:pPr>
      <w:pStyle w:val="Koptekst"/>
    </w:pPr>
    <w:r w:rsidRPr="007039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00004DC8"/>
    <w:lvl w:ilvl="0" w:tplc="00006443">
      <w:start w:val="3"/>
      <w:numFmt w:val="lowerLetter"/>
      <w:lvlText w:val="%1."/>
      <w:lvlJc w:val="left"/>
      <w:pPr>
        <w:tabs>
          <w:tab w:val="num" w:pos="1637"/>
        </w:tabs>
        <w:ind w:left="1637" w:hanging="360"/>
      </w:pPr>
    </w:lvl>
    <w:lvl w:ilvl="1" w:tplc="FFFFFFFF">
      <w:numFmt w:val="decimal"/>
      <w:lvlText w:val=""/>
      <w:lvlJc w:val="left"/>
      <w:pPr>
        <w:ind w:left="910" w:firstLine="0"/>
      </w:pPr>
    </w:lvl>
    <w:lvl w:ilvl="2" w:tplc="FFFFFFFF">
      <w:numFmt w:val="decimal"/>
      <w:lvlText w:val=""/>
      <w:lvlJc w:val="left"/>
      <w:pPr>
        <w:ind w:left="910" w:firstLine="0"/>
      </w:pPr>
    </w:lvl>
    <w:lvl w:ilvl="3" w:tplc="FFFFFFFF">
      <w:numFmt w:val="decimal"/>
      <w:lvlText w:val=""/>
      <w:lvlJc w:val="left"/>
      <w:pPr>
        <w:ind w:left="910" w:firstLine="0"/>
      </w:pPr>
    </w:lvl>
    <w:lvl w:ilvl="4" w:tplc="FFFFFFFF">
      <w:numFmt w:val="decimal"/>
      <w:lvlText w:val=""/>
      <w:lvlJc w:val="left"/>
      <w:pPr>
        <w:ind w:left="910" w:firstLine="0"/>
      </w:pPr>
    </w:lvl>
    <w:lvl w:ilvl="5" w:tplc="FFFFFFFF">
      <w:numFmt w:val="decimal"/>
      <w:lvlText w:val=""/>
      <w:lvlJc w:val="left"/>
      <w:pPr>
        <w:ind w:left="910" w:firstLine="0"/>
      </w:pPr>
    </w:lvl>
    <w:lvl w:ilvl="6" w:tplc="FFFFFFFF">
      <w:numFmt w:val="decimal"/>
      <w:lvlText w:val=""/>
      <w:lvlJc w:val="left"/>
      <w:pPr>
        <w:ind w:left="910" w:firstLine="0"/>
      </w:pPr>
    </w:lvl>
    <w:lvl w:ilvl="7" w:tplc="FFFFFFFF">
      <w:numFmt w:val="decimal"/>
      <w:lvlText w:val=""/>
      <w:lvlJc w:val="left"/>
      <w:pPr>
        <w:ind w:left="910" w:firstLine="0"/>
      </w:pPr>
    </w:lvl>
    <w:lvl w:ilvl="8" w:tplc="FFFFFFFF">
      <w:numFmt w:val="decimal"/>
      <w:lvlText w:val=""/>
      <w:lvlJc w:val="left"/>
      <w:pPr>
        <w:ind w:left="910" w:firstLine="0"/>
      </w:pPr>
    </w:lvl>
  </w:abstractNum>
  <w:abstractNum w:abstractNumId="1" w15:restartNumberingAfterBreak="0">
    <w:nsid w:val="00001E1F"/>
    <w:multiLevelType w:val="hybridMultilevel"/>
    <w:tmpl w:val="4AC48E8E"/>
    <w:lvl w:ilvl="0" w:tplc="00001AD4">
      <w:start w:val="1"/>
      <w:numFmt w:val="decimal"/>
      <w:lvlText w:val="%1."/>
      <w:lvlJc w:val="left"/>
      <w:pPr>
        <w:tabs>
          <w:tab w:val="num" w:pos="720"/>
        </w:tabs>
        <w:ind w:left="720" w:hanging="360"/>
      </w:pPr>
    </w:lvl>
    <w:lvl w:ilvl="1" w:tplc="000063CB">
      <w:start w:val="1"/>
      <w:numFmt w:val="bullet"/>
      <w:lvlText w:val="-"/>
      <w:lvlJc w:val="left"/>
      <w:pPr>
        <w:tabs>
          <w:tab w:val="num" w:pos="1440"/>
        </w:tabs>
        <w:ind w:left="1440" w:hanging="360"/>
      </w:pPr>
    </w:lvl>
    <w:lvl w:ilvl="2" w:tplc="FFFFFFFF">
      <w:numFmt w:val="decimal"/>
      <w:lvlText w:val=""/>
      <w:lvlJc w:val="left"/>
      <w:pPr>
        <w:ind w:left="0" w:firstLine="0"/>
      </w:pPr>
    </w:lvl>
    <w:lvl w:ilvl="3" w:tplc="0000767D">
      <w:start w:val="1"/>
      <w:numFmt w:val="bullet"/>
      <w:lvlText w:val="-"/>
      <w:lvlJc w:val="left"/>
      <w:pPr>
        <w:ind w:left="0" w:firstLine="0"/>
      </w:pPr>
    </w:lvl>
    <w:lvl w:ilvl="4" w:tplc="0000767D">
      <w:start w:val="1"/>
      <w:numFmt w:val="bullet"/>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4D06"/>
    <w:multiLevelType w:val="hybridMultilevel"/>
    <w:tmpl w:val="91E4739A"/>
    <w:lvl w:ilvl="0" w:tplc="5A000DFA">
      <w:start w:val="1"/>
      <w:numFmt w:val="lowerLetter"/>
      <w:lvlText w:val="%1."/>
      <w:lvlJc w:val="left"/>
      <w:pPr>
        <w:tabs>
          <w:tab w:val="num" w:pos="783"/>
        </w:tabs>
        <w:ind w:left="783" w:hanging="360"/>
      </w:pPr>
      <w:rPr>
        <w:rFonts w:ascii="Garamond" w:eastAsia="Times New Roman" w:hAnsi="Garamond" w:cs="Helvetica"/>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47F1F75"/>
    <w:multiLevelType w:val="hybridMultilevel"/>
    <w:tmpl w:val="E3D85BAE"/>
    <w:lvl w:ilvl="0" w:tplc="B1A20CF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AAE4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86B1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2656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50E1D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D01AC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CC432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C22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FECD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580364"/>
    <w:multiLevelType w:val="hybridMultilevel"/>
    <w:tmpl w:val="08FE7752"/>
    <w:lvl w:ilvl="0" w:tplc="26EED2BC">
      <w:start w:val="1"/>
      <w:numFmt w:val="decimal"/>
      <w:lvlText w:val="%1."/>
      <w:lvlJc w:val="left"/>
      <w:pPr>
        <w:ind w:left="726" w:hanging="360"/>
      </w:pPr>
      <w:rPr>
        <w:b w:val="0"/>
      </w:rPr>
    </w:lvl>
    <w:lvl w:ilvl="1" w:tplc="04130019">
      <w:start w:val="1"/>
      <w:numFmt w:val="lowerLetter"/>
      <w:lvlText w:val="%2."/>
      <w:lvlJc w:val="left"/>
      <w:pPr>
        <w:ind w:left="1443" w:hanging="360"/>
      </w:pPr>
    </w:lvl>
    <w:lvl w:ilvl="2" w:tplc="0413001B">
      <w:start w:val="1"/>
      <w:numFmt w:val="lowerRoman"/>
      <w:lvlText w:val="%3."/>
      <w:lvlJc w:val="right"/>
      <w:pPr>
        <w:ind w:left="2163" w:hanging="180"/>
      </w:pPr>
    </w:lvl>
    <w:lvl w:ilvl="3" w:tplc="0413000F">
      <w:start w:val="1"/>
      <w:numFmt w:val="decimal"/>
      <w:lvlText w:val="%4."/>
      <w:lvlJc w:val="left"/>
      <w:pPr>
        <w:ind w:left="2883" w:hanging="360"/>
      </w:pPr>
    </w:lvl>
    <w:lvl w:ilvl="4" w:tplc="04130019">
      <w:start w:val="1"/>
      <w:numFmt w:val="lowerLetter"/>
      <w:lvlText w:val="%5."/>
      <w:lvlJc w:val="left"/>
      <w:pPr>
        <w:ind w:left="3603" w:hanging="360"/>
      </w:pPr>
    </w:lvl>
    <w:lvl w:ilvl="5" w:tplc="0413001B">
      <w:start w:val="1"/>
      <w:numFmt w:val="lowerRoman"/>
      <w:lvlText w:val="%6."/>
      <w:lvlJc w:val="right"/>
      <w:pPr>
        <w:ind w:left="4323" w:hanging="180"/>
      </w:pPr>
    </w:lvl>
    <w:lvl w:ilvl="6" w:tplc="0413000F">
      <w:start w:val="1"/>
      <w:numFmt w:val="decimal"/>
      <w:lvlText w:val="%7."/>
      <w:lvlJc w:val="left"/>
      <w:pPr>
        <w:ind w:left="5043" w:hanging="360"/>
      </w:pPr>
    </w:lvl>
    <w:lvl w:ilvl="7" w:tplc="04130019">
      <w:start w:val="1"/>
      <w:numFmt w:val="lowerLetter"/>
      <w:lvlText w:val="%8."/>
      <w:lvlJc w:val="left"/>
      <w:pPr>
        <w:ind w:left="5763" w:hanging="360"/>
      </w:pPr>
    </w:lvl>
    <w:lvl w:ilvl="8" w:tplc="0413001B">
      <w:start w:val="1"/>
      <w:numFmt w:val="lowerRoman"/>
      <w:lvlText w:val="%9."/>
      <w:lvlJc w:val="right"/>
      <w:pPr>
        <w:ind w:left="6483" w:hanging="180"/>
      </w:pPr>
    </w:lvl>
  </w:abstractNum>
  <w:abstractNum w:abstractNumId="5" w15:restartNumberingAfterBreak="0">
    <w:nsid w:val="06B9059C"/>
    <w:multiLevelType w:val="singleLevel"/>
    <w:tmpl w:val="2D55D92B"/>
    <w:lvl w:ilvl="0">
      <w:start w:val="1"/>
      <w:numFmt w:val="decimal"/>
      <w:lvlText w:val="%1."/>
      <w:lvlJc w:val="left"/>
      <w:pPr>
        <w:tabs>
          <w:tab w:val="num" w:pos="792"/>
        </w:tabs>
        <w:ind w:left="792" w:hanging="360"/>
      </w:pPr>
      <w:rPr>
        <w:rFonts w:ascii="Arial" w:hAnsi="Arial" w:cs="Arial"/>
        <w:sz w:val="20"/>
        <w:szCs w:val="20"/>
      </w:rPr>
    </w:lvl>
  </w:abstractNum>
  <w:abstractNum w:abstractNumId="6" w15:restartNumberingAfterBreak="0">
    <w:nsid w:val="07836283"/>
    <w:multiLevelType w:val="hybridMultilevel"/>
    <w:tmpl w:val="1F8E074C"/>
    <w:lvl w:ilvl="0" w:tplc="4C4A301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26EA9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3C0F6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EC9E3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EFE3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5EEB6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9AC42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2CC4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02E5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A06E92"/>
    <w:multiLevelType w:val="hybridMultilevel"/>
    <w:tmpl w:val="A1D288A4"/>
    <w:lvl w:ilvl="0" w:tplc="B40CA52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4E377E"/>
    <w:multiLevelType w:val="hybridMultilevel"/>
    <w:tmpl w:val="55B80678"/>
    <w:lvl w:ilvl="0" w:tplc="9BEAC98E">
      <w:start w:val="1"/>
      <w:numFmt w:val="decimal"/>
      <w:lvlText w:val="%1."/>
      <w:lvlJc w:val="left"/>
      <w:pPr>
        <w:ind w:left="720" w:hanging="360"/>
      </w:pPr>
      <w:rPr>
        <w:rFonts w:ascii="Garamond" w:hAnsi="Garamond" w:cs="Times New Roman"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2C2543A"/>
    <w:multiLevelType w:val="hybridMultilevel"/>
    <w:tmpl w:val="172073D0"/>
    <w:lvl w:ilvl="0" w:tplc="4EDA58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76998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D6A80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5C97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40F4C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E86BF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92C04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CC3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4AD5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1A40A0"/>
    <w:multiLevelType w:val="hybridMultilevel"/>
    <w:tmpl w:val="DF60EF7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11" w15:restartNumberingAfterBreak="0">
    <w:nsid w:val="15756A53"/>
    <w:multiLevelType w:val="hybridMultilevel"/>
    <w:tmpl w:val="7E38A12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12" w15:restartNumberingAfterBreak="0">
    <w:nsid w:val="1B4266E0"/>
    <w:multiLevelType w:val="hybridMultilevel"/>
    <w:tmpl w:val="DE863816"/>
    <w:lvl w:ilvl="0" w:tplc="05E815A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D4D11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D67DA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666E0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2AB8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D8E57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F0611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2E4AD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D4FBC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434BA3"/>
    <w:multiLevelType w:val="hybridMultilevel"/>
    <w:tmpl w:val="F0A8E9B4"/>
    <w:lvl w:ilvl="0" w:tplc="2436B37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20B52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98A74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BC197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F46E7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7AF02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5020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1E511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B883F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245CB3"/>
    <w:multiLevelType w:val="hybridMultilevel"/>
    <w:tmpl w:val="156E878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1D409D4"/>
    <w:multiLevelType w:val="hybridMultilevel"/>
    <w:tmpl w:val="1874832A"/>
    <w:lvl w:ilvl="0" w:tplc="0413001B">
      <w:start w:val="1"/>
      <w:numFmt w:val="lowerRoman"/>
      <w:lvlText w:val="%1."/>
      <w:lvlJc w:val="right"/>
      <w:pPr>
        <w:ind w:left="2556" w:hanging="360"/>
      </w:pPr>
    </w:lvl>
    <w:lvl w:ilvl="1" w:tplc="0413001B">
      <w:start w:val="1"/>
      <w:numFmt w:val="lowerRoman"/>
      <w:lvlText w:val="%2."/>
      <w:lvlJc w:val="right"/>
      <w:pPr>
        <w:ind w:left="3276" w:hanging="360"/>
      </w:pPr>
    </w:lvl>
    <w:lvl w:ilvl="2" w:tplc="0413001B">
      <w:start w:val="1"/>
      <w:numFmt w:val="lowerRoman"/>
      <w:lvlText w:val="%3."/>
      <w:lvlJc w:val="right"/>
      <w:pPr>
        <w:ind w:left="3996" w:hanging="180"/>
      </w:pPr>
    </w:lvl>
    <w:lvl w:ilvl="3" w:tplc="0413000F">
      <w:start w:val="1"/>
      <w:numFmt w:val="decimal"/>
      <w:lvlText w:val="%4."/>
      <w:lvlJc w:val="left"/>
      <w:pPr>
        <w:ind w:left="4716" w:hanging="360"/>
      </w:pPr>
    </w:lvl>
    <w:lvl w:ilvl="4" w:tplc="65DE5862">
      <w:start w:val="1"/>
      <w:numFmt w:val="lowerLetter"/>
      <w:lvlText w:val="%5."/>
      <w:lvlJc w:val="left"/>
      <w:pPr>
        <w:ind w:left="5436" w:hanging="360"/>
      </w:pPr>
      <w:rPr>
        <w:rFonts w:hint="default"/>
      </w:rPr>
    </w:lvl>
    <w:lvl w:ilvl="5" w:tplc="0413001B" w:tentative="1">
      <w:start w:val="1"/>
      <w:numFmt w:val="lowerRoman"/>
      <w:lvlText w:val="%6."/>
      <w:lvlJc w:val="right"/>
      <w:pPr>
        <w:ind w:left="6156" w:hanging="180"/>
      </w:pPr>
    </w:lvl>
    <w:lvl w:ilvl="6" w:tplc="0413000F" w:tentative="1">
      <w:start w:val="1"/>
      <w:numFmt w:val="decimal"/>
      <w:lvlText w:val="%7."/>
      <w:lvlJc w:val="left"/>
      <w:pPr>
        <w:ind w:left="6876" w:hanging="360"/>
      </w:pPr>
    </w:lvl>
    <w:lvl w:ilvl="7" w:tplc="04130019" w:tentative="1">
      <w:start w:val="1"/>
      <w:numFmt w:val="lowerLetter"/>
      <w:lvlText w:val="%8."/>
      <w:lvlJc w:val="left"/>
      <w:pPr>
        <w:ind w:left="7596" w:hanging="360"/>
      </w:pPr>
    </w:lvl>
    <w:lvl w:ilvl="8" w:tplc="0413001B" w:tentative="1">
      <w:start w:val="1"/>
      <w:numFmt w:val="lowerRoman"/>
      <w:lvlText w:val="%9."/>
      <w:lvlJc w:val="right"/>
      <w:pPr>
        <w:ind w:left="8316" w:hanging="180"/>
      </w:pPr>
    </w:lvl>
  </w:abstractNum>
  <w:abstractNum w:abstractNumId="16" w15:restartNumberingAfterBreak="0">
    <w:nsid w:val="22DE6021"/>
    <w:multiLevelType w:val="hybridMultilevel"/>
    <w:tmpl w:val="0ECC0286"/>
    <w:lvl w:ilvl="0" w:tplc="0F56C1FA">
      <w:start w:val="1"/>
      <w:numFmt w:val="decimal"/>
      <w:lvlText w:val="%1."/>
      <w:lvlJc w:val="left"/>
      <w:pPr>
        <w:ind w:left="723" w:hanging="360"/>
      </w:pPr>
      <w:rPr>
        <w:b w:val="0"/>
      </w:rPr>
    </w:lvl>
    <w:lvl w:ilvl="1" w:tplc="04130019">
      <w:start w:val="1"/>
      <w:numFmt w:val="lowerLetter"/>
      <w:lvlText w:val="%2."/>
      <w:lvlJc w:val="left"/>
      <w:pPr>
        <w:ind w:left="1443" w:hanging="360"/>
      </w:pPr>
    </w:lvl>
    <w:lvl w:ilvl="2" w:tplc="0413001B">
      <w:start w:val="1"/>
      <w:numFmt w:val="lowerRoman"/>
      <w:lvlText w:val="%3."/>
      <w:lvlJc w:val="right"/>
      <w:pPr>
        <w:ind w:left="2163" w:hanging="180"/>
      </w:pPr>
    </w:lvl>
    <w:lvl w:ilvl="3" w:tplc="0413000F">
      <w:start w:val="1"/>
      <w:numFmt w:val="decimal"/>
      <w:lvlText w:val="%4."/>
      <w:lvlJc w:val="left"/>
      <w:pPr>
        <w:ind w:left="2883" w:hanging="360"/>
      </w:pPr>
    </w:lvl>
    <w:lvl w:ilvl="4" w:tplc="04130019">
      <w:start w:val="1"/>
      <w:numFmt w:val="lowerLetter"/>
      <w:lvlText w:val="%5."/>
      <w:lvlJc w:val="left"/>
      <w:pPr>
        <w:ind w:left="3603" w:hanging="360"/>
      </w:pPr>
    </w:lvl>
    <w:lvl w:ilvl="5" w:tplc="0413001B">
      <w:start w:val="1"/>
      <w:numFmt w:val="lowerRoman"/>
      <w:lvlText w:val="%6."/>
      <w:lvlJc w:val="right"/>
      <w:pPr>
        <w:ind w:left="4323" w:hanging="180"/>
      </w:pPr>
    </w:lvl>
    <w:lvl w:ilvl="6" w:tplc="0413000F">
      <w:start w:val="1"/>
      <w:numFmt w:val="decimal"/>
      <w:lvlText w:val="%7."/>
      <w:lvlJc w:val="left"/>
      <w:pPr>
        <w:ind w:left="5043" w:hanging="360"/>
      </w:pPr>
    </w:lvl>
    <w:lvl w:ilvl="7" w:tplc="04130019">
      <w:start w:val="1"/>
      <w:numFmt w:val="lowerLetter"/>
      <w:lvlText w:val="%8."/>
      <w:lvlJc w:val="left"/>
      <w:pPr>
        <w:ind w:left="5763" w:hanging="360"/>
      </w:pPr>
    </w:lvl>
    <w:lvl w:ilvl="8" w:tplc="0413001B">
      <w:start w:val="1"/>
      <w:numFmt w:val="lowerRoman"/>
      <w:lvlText w:val="%9."/>
      <w:lvlJc w:val="right"/>
      <w:pPr>
        <w:ind w:left="6483" w:hanging="180"/>
      </w:pPr>
    </w:lvl>
  </w:abstractNum>
  <w:abstractNum w:abstractNumId="17" w15:restartNumberingAfterBreak="0">
    <w:nsid w:val="235B05C0"/>
    <w:multiLevelType w:val="hybridMultilevel"/>
    <w:tmpl w:val="8110B8F8"/>
    <w:lvl w:ilvl="0" w:tplc="93C0D55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2B8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CB5C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4673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CC783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6C7A2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7EE6B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6EFD2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ED03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0A862BE"/>
    <w:multiLevelType w:val="hybridMultilevel"/>
    <w:tmpl w:val="9886DBAE"/>
    <w:lvl w:ilvl="0" w:tplc="2C202438">
      <w:start w:val="1"/>
      <w:numFmt w:val="decimal"/>
      <w:lvlText w:val="%1."/>
      <w:lvlJc w:val="left"/>
      <w:pPr>
        <w:tabs>
          <w:tab w:val="num" w:pos="720"/>
        </w:tabs>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1972944"/>
    <w:multiLevelType w:val="hybridMultilevel"/>
    <w:tmpl w:val="8EC8172A"/>
    <w:lvl w:ilvl="0" w:tplc="F872DA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471E0">
      <w:start w:val="1"/>
      <w:numFmt w:val="lowerLetter"/>
      <w:lvlText w:val="%2"/>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66A354">
      <w:start w:val="3"/>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E2C12">
      <w:start w:val="1"/>
      <w:numFmt w:val="decimal"/>
      <w:lvlText w:val="%4"/>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D899AE">
      <w:start w:val="1"/>
      <w:numFmt w:val="lowerLetter"/>
      <w:lvlText w:val="%5"/>
      <w:lvlJc w:val="left"/>
      <w:pPr>
        <w:ind w:left="3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5BC8">
      <w:start w:val="1"/>
      <w:numFmt w:val="lowerRoman"/>
      <w:lvlText w:val="%6"/>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8A34D4">
      <w:start w:val="1"/>
      <w:numFmt w:val="decimal"/>
      <w:lvlText w:val="%7"/>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8C3AC0">
      <w:start w:val="1"/>
      <w:numFmt w:val="lowerLetter"/>
      <w:lvlText w:val="%8"/>
      <w:lvlJc w:val="left"/>
      <w:pPr>
        <w:ind w:left="5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AC3EA0">
      <w:start w:val="1"/>
      <w:numFmt w:val="lowerRoman"/>
      <w:lvlText w:val="%9"/>
      <w:lvlJc w:val="left"/>
      <w:pPr>
        <w:ind w:left="6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2594969"/>
    <w:multiLevelType w:val="hybridMultilevel"/>
    <w:tmpl w:val="4C283418"/>
    <w:lvl w:ilvl="0" w:tplc="2C202438">
      <w:start w:val="1"/>
      <w:numFmt w:val="decimal"/>
      <w:lvlText w:val="%1."/>
      <w:lvlJc w:val="left"/>
      <w:pPr>
        <w:tabs>
          <w:tab w:val="num" w:pos="727"/>
        </w:tabs>
        <w:ind w:left="727" w:hanging="360"/>
      </w:pPr>
      <w:rPr>
        <w:b w:val="0"/>
      </w:rPr>
    </w:lvl>
    <w:lvl w:ilvl="1" w:tplc="04130019">
      <w:start w:val="1"/>
      <w:numFmt w:val="lowerLetter"/>
      <w:lvlText w:val="%2."/>
      <w:lvlJc w:val="left"/>
      <w:pPr>
        <w:ind w:left="1447" w:hanging="360"/>
      </w:pPr>
    </w:lvl>
    <w:lvl w:ilvl="2" w:tplc="0413001B">
      <w:start w:val="1"/>
      <w:numFmt w:val="lowerRoman"/>
      <w:lvlText w:val="%3."/>
      <w:lvlJc w:val="right"/>
      <w:pPr>
        <w:ind w:left="2167" w:hanging="180"/>
      </w:pPr>
    </w:lvl>
    <w:lvl w:ilvl="3" w:tplc="0413000F">
      <w:start w:val="1"/>
      <w:numFmt w:val="decimal"/>
      <w:lvlText w:val="%4."/>
      <w:lvlJc w:val="left"/>
      <w:pPr>
        <w:ind w:left="2887" w:hanging="360"/>
      </w:pPr>
    </w:lvl>
    <w:lvl w:ilvl="4" w:tplc="04130019">
      <w:start w:val="1"/>
      <w:numFmt w:val="lowerLetter"/>
      <w:lvlText w:val="%5."/>
      <w:lvlJc w:val="left"/>
      <w:pPr>
        <w:ind w:left="3607" w:hanging="360"/>
      </w:pPr>
    </w:lvl>
    <w:lvl w:ilvl="5" w:tplc="0413001B">
      <w:start w:val="1"/>
      <w:numFmt w:val="lowerRoman"/>
      <w:lvlText w:val="%6."/>
      <w:lvlJc w:val="right"/>
      <w:pPr>
        <w:ind w:left="4327" w:hanging="180"/>
      </w:pPr>
    </w:lvl>
    <w:lvl w:ilvl="6" w:tplc="0413000F">
      <w:start w:val="1"/>
      <w:numFmt w:val="decimal"/>
      <w:lvlText w:val="%7."/>
      <w:lvlJc w:val="left"/>
      <w:pPr>
        <w:ind w:left="5047" w:hanging="360"/>
      </w:pPr>
    </w:lvl>
    <w:lvl w:ilvl="7" w:tplc="04130019">
      <w:start w:val="1"/>
      <w:numFmt w:val="lowerLetter"/>
      <w:lvlText w:val="%8."/>
      <w:lvlJc w:val="left"/>
      <w:pPr>
        <w:ind w:left="5767" w:hanging="360"/>
      </w:pPr>
    </w:lvl>
    <w:lvl w:ilvl="8" w:tplc="0413001B">
      <w:start w:val="1"/>
      <w:numFmt w:val="lowerRoman"/>
      <w:lvlText w:val="%9."/>
      <w:lvlJc w:val="right"/>
      <w:pPr>
        <w:ind w:left="6487" w:hanging="180"/>
      </w:pPr>
    </w:lvl>
  </w:abstractNum>
  <w:abstractNum w:abstractNumId="21" w15:restartNumberingAfterBreak="0">
    <w:nsid w:val="327166AF"/>
    <w:multiLevelType w:val="hybridMultilevel"/>
    <w:tmpl w:val="2DAA4086"/>
    <w:lvl w:ilvl="0" w:tplc="D25E027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58BE4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3CF19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5C0B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6254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E8575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9EE7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AE45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00386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B301F8"/>
    <w:multiLevelType w:val="hybridMultilevel"/>
    <w:tmpl w:val="6CDA437C"/>
    <w:lvl w:ilvl="0" w:tplc="495CA3A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CE8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4C2F2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E2C3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EA91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168E8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B0CB7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AEF27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8E05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210231"/>
    <w:multiLevelType w:val="hybridMultilevel"/>
    <w:tmpl w:val="B8CE44D2"/>
    <w:lvl w:ilvl="0" w:tplc="2C202438">
      <w:start w:val="1"/>
      <w:numFmt w:val="decimal"/>
      <w:lvlText w:val="%1."/>
      <w:lvlJc w:val="left"/>
      <w:pPr>
        <w:tabs>
          <w:tab w:val="num" w:pos="727"/>
        </w:tabs>
        <w:ind w:left="727" w:hanging="360"/>
      </w:pPr>
      <w:rPr>
        <w:b w:val="0"/>
      </w:rPr>
    </w:lvl>
    <w:lvl w:ilvl="1" w:tplc="04130019">
      <w:start w:val="1"/>
      <w:numFmt w:val="lowerLetter"/>
      <w:lvlText w:val="%2."/>
      <w:lvlJc w:val="left"/>
      <w:pPr>
        <w:ind w:left="1447" w:hanging="360"/>
      </w:pPr>
    </w:lvl>
    <w:lvl w:ilvl="2" w:tplc="0413001B">
      <w:start w:val="1"/>
      <w:numFmt w:val="lowerRoman"/>
      <w:lvlText w:val="%3."/>
      <w:lvlJc w:val="right"/>
      <w:pPr>
        <w:ind w:left="2167" w:hanging="180"/>
      </w:pPr>
    </w:lvl>
    <w:lvl w:ilvl="3" w:tplc="0413000F">
      <w:start w:val="1"/>
      <w:numFmt w:val="decimal"/>
      <w:lvlText w:val="%4."/>
      <w:lvlJc w:val="left"/>
      <w:pPr>
        <w:ind w:left="2887" w:hanging="360"/>
      </w:pPr>
    </w:lvl>
    <w:lvl w:ilvl="4" w:tplc="04130019">
      <w:start w:val="1"/>
      <w:numFmt w:val="lowerLetter"/>
      <w:lvlText w:val="%5."/>
      <w:lvlJc w:val="left"/>
      <w:pPr>
        <w:ind w:left="3607" w:hanging="360"/>
      </w:pPr>
    </w:lvl>
    <w:lvl w:ilvl="5" w:tplc="0413001B">
      <w:start w:val="1"/>
      <w:numFmt w:val="lowerRoman"/>
      <w:lvlText w:val="%6."/>
      <w:lvlJc w:val="right"/>
      <w:pPr>
        <w:ind w:left="4327" w:hanging="180"/>
      </w:pPr>
    </w:lvl>
    <w:lvl w:ilvl="6" w:tplc="0413000F">
      <w:start w:val="1"/>
      <w:numFmt w:val="decimal"/>
      <w:lvlText w:val="%7."/>
      <w:lvlJc w:val="left"/>
      <w:pPr>
        <w:ind w:left="5047" w:hanging="360"/>
      </w:pPr>
    </w:lvl>
    <w:lvl w:ilvl="7" w:tplc="04130019">
      <w:start w:val="1"/>
      <w:numFmt w:val="lowerLetter"/>
      <w:lvlText w:val="%8."/>
      <w:lvlJc w:val="left"/>
      <w:pPr>
        <w:ind w:left="5767" w:hanging="360"/>
      </w:pPr>
    </w:lvl>
    <w:lvl w:ilvl="8" w:tplc="0413001B">
      <w:start w:val="1"/>
      <w:numFmt w:val="lowerRoman"/>
      <w:lvlText w:val="%9."/>
      <w:lvlJc w:val="right"/>
      <w:pPr>
        <w:ind w:left="6487" w:hanging="180"/>
      </w:pPr>
    </w:lvl>
  </w:abstractNum>
  <w:abstractNum w:abstractNumId="24" w15:restartNumberingAfterBreak="0">
    <w:nsid w:val="3BFF7035"/>
    <w:multiLevelType w:val="hybridMultilevel"/>
    <w:tmpl w:val="C986A110"/>
    <w:lvl w:ilvl="0" w:tplc="7AD6CC1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06654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280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850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62C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7E55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125AA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82BB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CC7CB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144585"/>
    <w:multiLevelType w:val="hybridMultilevel"/>
    <w:tmpl w:val="76ECD7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05762E"/>
    <w:multiLevelType w:val="hybridMultilevel"/>
    <w:tmpl w:val="3DB8404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27" w15:restartNumberingAfterBreak="0">
    <w:nsid w:val="42C41EA3"/>
    <w:multiLevelType w:val="hybridMultilevel"/>
    <w:tmpl w:val="F92CB98E"/>
    <w:lvl w:ilvl="0" w:tplc="0EAA0CE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276D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BC5E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906AB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506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BC133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3C9B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050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10E90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B6637F"/>
    <w:multiLevelType w:val="hybridMultilevel"/>
    <w:tmpl w:val="048EF882"/>
    <w:lvl w:ilvl="0" w:tplc="3EC473C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2C996">
      <w:start w:val="1"/>
      <w:numFmt w:val="lowerLetter"/>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B80616">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7276F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2D6C8">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0A7FA8">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28B6B0">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2C853C">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C21E7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9A32B8"/>
    <w:multiLevelType w:val="multilevel"/>
    <w:tmpl w:val="E18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42332"/>
    <w:multiLevelType w:val="hybridMultilevel"/>
    <w:tmpl w:val="64F45A0A"/>
    <w:lvl w:ilvl="0" w:tplc="35821622">
      <w:start w:val="1"/>
      <w:numFmt w:val="lowerLetter"/>
      <w:lvlText w:val="%1."/>
      <w:lvlJc w:val="left"/>
      <w:pPr>
        <w:ind w:left="367" w:hanging="360"/>
      </w:pPr>
      <w:rPr>
        <w:b w:val="0"/>
      </w:rPr>
    </w:lvl>
    <w:lvl w:ilvl="1" w:tplc="04130019">
      <w:start w:val="1"/>
      <w:numFmt w:val="lowerLetter"/>
      <w:lvlText w:val="%2."/>
      <w:lvlJc w:val="left"/>
      <w:pPr>
        <w:ind w:left="1087" w:hanging="360"/>
      </w:pPr>
    </w:lvl>
    <w:lvl w:ilvl="2" w:tplc="0413001B">
      <w:start w:val="1"/>
      <w:numFmt w:val="lowerRoman"/>
      <w:lvlText w:val="%3."/>
      <w:lvlJc w:val="right"/>
      <w:pPr>
        <w:ind w:left="1807" w:hanging="180"/>
      </w:pPr>
    </w:lvl>
    <w:lvl w:ilvl="3" w:tplc="0413000F">
      <w:start w:val="1"/>
      <w:numFmt w:val="decimal"/>
      <w:lvlText w:val="%4."/>
      <w:lvlJc w:val="left"/>
      <w:pPr>
        <w:ind w:left="2527" w:hanging="360"/>
      </w:pPr>
    </w:lvl>
    <w:lvl w:ilvl="4" w:tplc="04130019">
      <w:start w:val="1"/>
      <w:numFmt w:val="lowerLetter"/>
      <w:lvlText w:val="%5."/>
      <w:lvlJc w:val="left"/>
      <w:pPr>
        <w:ind w:left="3247" w:hanging="360"/>
      </w:pPr>
    </w:lvl>
    <w:lvl w:ilvl="5" w:tplc="0413001B">
      <w:start w:val="1"/>
      <w:numFmt w:val="lowerRoman"/>
      <w:lvlText w:val="%6."/>
      <w:lvlJc w:val="right"/>
      <w:pPr>
        <w:ind w:left="3967" w:hanging="180"/>
      </w:pPr>
    </w:lvl>
    <w:lvl w:ilvl="6" w:tplc="0413000F">
      <w:start w:val="1"/>
      <w:numFmt w:val="decimal"/>
      <w:lvlText w:val="%7."/>
      <w:lvlJc w:val="left"/>
      <w:pPr>
        <w:ind w:left="4687" w:hanging="360"/>
      </w:pPr>
    </w:lvl>
    <w:lvl w:ilvl="7" w:tplc="04130019">
      <w:start w:val="1"/>
      <w:numFmt w:val="lowerLetter"/>
      <w:lvlText w:val="%8."/>
      <w:lvlJc w:val="left"/>
      <w:pPr>
        <w:ind w:left="5407" w:hanging="360"/>
      </w:pPr>
    </w:lvl>
    <w:lvl w:ilvl="8" w:tplc="0413001B">
      <w:start w:val="1"/>
      <w:numFmt w:val="lowerRoman"/>
      <w:lvlText w:val="%9."/>
      <w:lvlJc w:val="right"/>
      <w:pPr>
        <w:ind w:left="6127" w:hanging="180"/>
      </w:pPr>
    </w:lvl>
  </w:abstractNum>
  <w:abstractNum w:abstractNumId="31" w15:restartNumberingAfterBreak="0">
    <w:nsid w:val="514876DC"/>
    <w:multiLevelType w:val="multilevel"/>
    <w:tmpl w:val="2F74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A44EC"/>
    <w:multiLevelType w:val="hybridMultilevel"/>
    <w:tmpl w:val="BF885818"/>
    <w:lvl w:ilvl="0" w:tplc="F072F68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4A4B3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F8248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52FD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B22C8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8CBB7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B4074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9C9EA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1DB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49E6FE0"/>
    <w:multiLevelType w:val="hybridMultilevel"/>
    <w:tmpl w:val="7C900EAC"/>
    <w:lvl w:ilvl="0" w:tplc="5DF01E9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C8B3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7458F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BE6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0B13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E81EC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D867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ADEC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08C07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6A130FF"/>
    <w:multiLevelType w:val="hybridMultilevel"/>
    <w:tmpl w:val="D4E01DDC"/>
    <w:lvl w:ilvl="0" w:tplc="07B02EA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867D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FCD16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C81A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68B60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FAEFA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41A5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47FB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DA98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80D38B2"/>
    <w:multiLevelType w:val="hybridMultilevel"/>
    <w:tmpl w:val="8A2C31CA"/>
    <w:lvl w:ilvl="0" w:tplc="A1ACB20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E192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06A6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261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BE71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64C3F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0EC3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8CC8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E8F2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8590C8E"/>
    <w:multiLevelType w:val="hybridMultilevel"/>
    <w:tmpl w:val="AEAC939C"/>
    <w:lvl w:ilvl="0" w:tplc="3462F98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2605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1ED2F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6A875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64C61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BC855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198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7AE50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1ED1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9874867"/>
    <w:multiLevelType w:val="hybridMultilevel"/>
    <w:tmpl w:val="28F80318"/>
    <w:lvl w:ilvl="0" w:tplc="ECFE7C44">
      <w:start w:val="1"/>
      <w:numFmt w:val="decimal"/>
      <w:lvlText w:val="%1."/>
      <w:lvlJc w:val="left"/>
      <w:pPr>
        <w:tabs>
          <w:tab w:val="num" w:pos="727"/>
        </w:tabs>
        <w:ind w:left="727" w:hanging="360"/>
      </w:pPr>
      <w:rPr>
        <w:b w:val="0"/>
      </w:rPr>
    </w:lvl>
    <w:lvl w:ilvl="1" w:tplc="04130019">
      <w:start w:val="1"/>
      <w:numFmt w:val="lowerLetter"/>
      <w:lvlText w:val="%2."/>
      <w:lvlJc w:val="left"/>
      <w:pPr>
        <w:ind w:left="1447" w:hanging="360"/>
      </w:pPr>
    </w:lvl>
    <w:lvl w:ilvl="2" w:tplc="0413001B">
      <w:start w:val="1"/>
      <w:numFmt w:val="lowerRoman"/>
      <w:lvlText w:val="%3."/>
      <w:lvlJc w:val="right"/>
      <w:pPr>
        <w:ind w:left="2167" w:hanging="180"/>
      </w:pPr>
    </w:lvl>
    <w:lvl w:ilvl="3" w:tplc="0413000F">
      <w:start w:val="1"/>
      <w:numFmt w:val="decimal"/>
      <w:lvlText w:val="%4."/>
      <w:lvlJc w:val="left"/>
      <w:pPr>
        <w:ind w:left="2887" w:hanging="360"/>
      </w:pPr>
    </w:lvl>
    <w:lvl w:ilvl="4" w:tplc="04130019">
      <w:start w:val="1"/>
      <w:numFmt w:val="lowerLetter"/>
      <w:lvlText w:val="%5."/>
      <w:lvlJc w:val="left"/>
      <w:pPr>
        <w:ind w:left="3607" w:hanging="360"/>
      </w:pPr>
    </w:lvl>
    <w:lvl w:ilvl="5" w:tplc="0413001B">
      <w:start w:val="1"/>
      <w:numFmt w:val="lowerRoman"/>
      <w:lvlText w:val="%6."/>
      <w:lvlJc w:val="right"/>
      <w:pPr>
        <w:ind w:left="4327" w:hanging="180"/>
      </w:pPr>
    </w:lvl>
    <w:lvl w:ilvl="6" w:tplc="0413000F">
      <w:start w:val="1"/>
      <w:numFmt w:val="decimal"/>
      <w:lvlText w:val="%7."/>
      <w:lvlJc w:val="left"/>
      <w:pPr>
        <w:ind w:left="5047" w:hanging="360"/>
      </w:pPr>
    </w:lvl>
    <w:lvl w:ilvl="7" w:tplc="04130019">
      <w:start w:val="1"/>
      <w:numFmt w:val="lowerLetter"/>
      <w:lvlText w:val="%8."/>
      <w:lvlJc w:val="left"/>
      <w:pPr>
        <w:ind w:left="5767" w:hanging="360"/>
      </w:pPr>
    </w:lvl>
    <w:lvl w:ilvl="8" w:tplc="0413001B">
      <w:start w:val="1"/>
      <w:numFmt w:val="lowerRoman"/>
      <w:lvlText w:val="%9."/>
      <w:lvlJc w:val="right"/>
      <w:pPr>
        <w:ind w:left="6487" w:hanging="180"/>
      </w:pPr>
    </w:lvl>
  </w:abstractNum>
  <w:abstractNum w:abstractNumId="38" w15:restartNumberingAfterBreak="0">
    <w:nsid w:val="5AF06F46"/>
    <w:multiLevelType w:val="hybridMultilevel"/>
    <w:tmpl w:val="516C1A9E"/>
    <w:lvl w:ilvl="0" w:tplc="250A373A">
      <w:start w:val="1"/>
      <w:numFmt w:val="lowerLetter"/>
      <w:lvlText w:val="%1."/>
      <w:lvlJc w:val="left"/>
      <w:pPr>
        <w:ind w:left="1428" w:hanging="360"/>
      </w:pPr>
      <w:rPr>
        <w:rFonts w:hint="default"/>
      </w:rPr>
    </w:lvl>
    <w:lvl w:ilvl="1" w:tplc="7A0E0B32">
      <w:start w:val="1"/>
      <w:numFmt w:val="lowerRoman"/>
      <w:lvlText w:val="%2."/>
      <w:lvlJc w:val="left"/>
      <w:pPr>
        <w:ind w:left="2508" w:hanging="720"/>
      </w:pPr>
      <w:rPr>
        <w:rFonts w:hint="default"/>
      </w:r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9" w15:restartNumberingAfterBreak="0">
    <w:nsid w:val="5B8074E3"/>
    <w:multiLevelType w:val="hybridMultilevel"/>
    <w:tmpl w:val="28525FFC"/>
    <w:lvl w:ilvl="0" w:tplc="99D060CE">
      <w:start w:val="1"/>
      <w:numFmt w:val="lowerLetter"/>
      <w:lvlText w:val="%1."/>
      <w:lvlJc w:val="left"/>
      <w:pPr>
        <w:ind w:left="1080" w:hanging="360"/>
      </w:pPr>
      <w:rPr>
        <w:rFonts w:ascii="Garamond" w:eastAsia="Calibri" w:hAnsi="Garamond" w:cs="Arial"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0" w15:restartNumberingAfterBreak="0">
    <w:nsid w:val="5ED72EE1"/>
    <w:multiLevelType w:val="hybridMultilevel"/>
    <w:tmpl w:val="65A0377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1" w15:restartNumberingAfterBreak="0">
    <w:nsid w:val="618E5FA7"/>
    <w:multiLevelType w:val="hybridMultilevel"/>
    <w:tmpl w:val="23CEF752"/>
    <w:lvl w:ilvl="0" w:tplc="2C202438">
      <w:start w:val="1"/>
      <w:numFmt w:val="decimal"/>
      <w:lvlText w:val="%1."/>
      <w:lvlJc w:val="left"/>
      <w:pPr>
        <w:tabs>
          <w:tab w:val="num" w:pos="723"/>
        </w:tabs>
        <w:ind w:left="723" w:hanging="360"/>
      </w:pPr>
      <w:rPr>
        <w:b w:val="0"/>
      </w:rPr>
    </w:lvl>
    <w:lvl w:ilvl="1" w:tplc="04130019">
      <w:start w:val="1"/>
      <w:numFmt w:val="lowerLetter"/>
      <w:lvlText w:val="%2."/>
      <w:lvlJc w:val="left"/>
      <w:pPr>
        <w:ind w:left="1443" w:hanging="360"/>
      </w:pPr>
    </w:lvl>
    <w:lvl w:ilvl="2" w:tplc="0413001B">
      <w:start w:val="1"/>
      <w:numFmt w:val="lowerRoman"/>
      <w:lvlText w:val="%3."/>
      <w:lvlJc w:val="right"/>
      <w:pPr>
        <w:ind w:left="2163" w:hanging="180"/>
      </w:pPr>
    </w:lvl>
    <w:lvl w:ilvl="3" w:tplc="0413000F">
      <w:start w:val="1"/>
      <w:numFmt w:val="decimal"/>
      <w:lvlText w:val="%4."/>
      <w:lvlJc w:val="left"/>
      <w:pPr>
        <w:ind w:left="2883" w:hanging="360"/>
      </w:pPr>
    </w:lvl>
    <w:lvl w:ilvl="4" w:tplc="04130019">
      <w:start w:val="1"/>
      <w:numFmt w:val="lowerLetter"/>
      <w:lvlText w:val="%5."/>
      <w:lvlJc w:val="left"/>
      <w:pPr>
        <w:ind w:left="3603" w:hanging="360"/>
      </w:pPr>
    </w:lvl>
    <w:lvl w:ilvl="5" w:tplc="0413001B">
      <w:start w:val="1"/>
      <w:numFmt w:val="lowerRoman"/>
      <w:lvlText w:val="%6."/>
      <w:lvlJc w:val="right"/>
      <w:pPr>
        <w:ind w:left="4323" w:hanging="180"/>
      </w:pPr>
    </w:lvl>
    <w:lvl w:ilvl="6" w:tplc="0413000F">
      <w:start w:val="1"/>
      <w:numFmt w:val="decimal"/>
      <w:lvlText w:val="%7."/>
      <w:lvlJc w:val="left"/>
      <w:pPr>
        <w:ind w:left="5043" w:hanging="360"/>
      </w:pPr>
    </w:lvl>
    <w:lvl w:ilvl="7" w:tplc="04130019">
      <w:start w:val="1"/>
      <w:numFmt w:val="lowerLetter"/>
      <w:lvlText w:val="%8."/>
      <w:lvlJc w:val="left"/>
      <w:pPr>
        <w:ind w:left="5763" w:hanging="360"/>
      </w:pPr>
    </w:lvl>
    <w:lvl w:ilvl="8" w:tplc="0413001B">
      <w:start w:val="1"/>
      <w:numFmt w:val="lowerRoman"/>
      <w:lvlText w:val="%9."/>
      <w:lvlJc w:val="right"/>
      <w:pPr>
        <w:ind w:left="6483" w:hanging="180"/>
      </w:pPr>
    </w:lvl>
  </w:abstractNum>
  <w:abstractNum w:abstractNumId="42" w15:restartNumberingAfterBreak="0">
    <w:nsid w:val="63CB3449"/>
    <w:multiLevelType w:val="hybridMultilevel"/>
    <w:tmpl w:val="1832B4EE"/>
    <w:lvl w:ilvl="0" w:tplc="C5EC95A2">
      <w:start w:val="1"/>
      <w:numFmt w:val="lowerLetter"/>
      <w:lvlText w:val="%1."/>
      <w:lvlJc w:val="left"/>
      <w:pPr>
        <w:ind w:left="1080" w:hanging="360"/>
      </w:pPr>
      <w:rPr>
        <w:rFonts w:ascii="Garamond" w:eastAsia="Calibri" w:hAnsi="Garamond" w:cs="Arial"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3" w15:restartNumberingAfterBreak="0">
    <w:nsid w:val="649208DE"/>
    <w:multiLevelType w:val="hybridMultilevel"/>
    <w:tmpl w:val="BFCC8F7C"/>
    <w:lvl w:ilvl="0" w:tplc="0FF0C67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40918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2E07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EE700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52992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00480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BAB9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8981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B4370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B740092"/>
    <w:multiLevelType w:val="hybridMultilevel"/>
    <w:tmpl w:val="02E6AED0"/>
    <w:lvl w:ilvl="0" w:tplc="F37433D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472E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8EAE2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2CAA6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0E1D9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8597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42FDF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FCBA6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AA17A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529076A"/>
    <w:multiLevelType w:val="hybridMultilevel"/>
    <w:tmpl w:val="536A72B8"/>
    <w:lvl w:ilvl="0" w:tplc="661A598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02E5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209BE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C4351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8310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72966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4C64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94A9B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686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5FA4C2A"/>
    <w:multiLevelType w:val="multilevel"/>
    <w:tmpl w:val="74DC8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531B8"/>
    <w:multiLevelType w:val="hybridMultilevel"/>
    <w:tmpl w:val="6A1068D8"/>
    <w:lvl w:ilvl="0" w:tplc="26EED2BC">
      <w:start w:val="1"/>
      <w:numFmt w:val="decimal"/>
      <w:lvlText w:val="%1."/>
      <w:lvlJc w:val="left"/>
      <w:pPr>
        <w:ind w:left="903" w:hanging="360"/>
      </w:pPr>
      <w:rPr>
        <w:b w:val="0"/>
      </w:rPr>
    </w:lvl>
    <w:lvl w:ilvl="1" w:tplc="04130019">
      <w:start w:val="1"/>
      <w:numFmt w:val="lowerLetter"/>
      <w:lvlText w:val="%2."/>
      <w:lvlJc w:val="left"/>
      <w:pPr>
        <w:ind w:left="1620" w:hanging="360"/>
      </w:pPr>
    </w:lvl>
    <w:lvl w:ilvl="2" w:tplc="0413001B">
      <w:start w:val="1"/>
      <w:numFmt w:val="lowerRoman"/>
      <w:lvlText w:val="%3."/>
      <w:lvlJc w:val="right"/>
      <w:pPr>
        <w:ind w:left="2340" w:hanging="180"/>
      </w:pPr>
    </w:lvl>
    <w:lvl w:ilvl="3" w:tplc="0413000F">
      <w:start w:val="1"/>
      <w:numFmt w:val="decimal"/>
      <w:lvlText w:val="%4."/>
      <w:lvlJc w:val="left"/>
      <w:pPr>
        <w:ind w:left="3060" w:hanging="360"/>
      </w:pPr>
    </w:lvl>
    <w:lvl w:ilvl="4" w:tplc="04130019">
      <w:start w:val="1"/>
      <w:numFmt w:val="lowerLetter"/>
      <w:lvlText w:val="%5."/>
      <w:lvlJc w:val="left"/>
      <w:pPr>
        <w:ind w:left="3780" w:hanging="360"/>
      </w:pPr>
    </w:lvl>
    <w:lvl w:ilvl="5" w:tplc="0413001B">
      <w:start w:val="1"/>
      <w:numFmt w:val="lowerRoman"/>
      <w:lvlText w:val="%6."/>
      <w:lvlJc w:val="right"/>
      <w:pPr>
        <w:ind w:left="4500" w:hanging="180"/>
      </w:pPr>
    </w:lvl>
    <w:lvl w:ilvl="6" w:tplc="0413000F">
      <w:start w:val="1"/>
      <w:numFmt w:val="decimal"/>
      <w:lvlText w:val="%7."/>
      <w:lvlJc w:val="left"/>
      <w:pPr>
        <w:ind w:left="5220" w:hanging="360"/>
      </w:pPr>
    </w:lvl>
    <w:lvl w:ilvl="7" w:tplc="04130019">
      <w:start w:val="1"/>
      <w:numFmt w:val="lowerLetter"/>
      <w:lvlText w:val="%8."/>
      <w:lvlJc w:val="left"/>
      <w:pPr>
        <w:ind w:left="5940" w:hanging="360"/>
      </w:pPr>
    </w:lvl>
    <w:lvl w:ilvl="8" w:tplc="0413001B">
      <w:start w:val="1"/>
      <w:numFmt w:val="lowerRoman"/>
      <w:lvlText w:val="%9."/>
      <w:lvlJc w:val="right"/>
      <w:pPr>
        <w:ind w:left="6660" w:hanging="180"/>
      </w:pPr>
    </w:lvl>
  </w:abstractNum>
  <w:abstractNum w:abstractNumId="48" w15:restartNumberingAfterBreak="0">
    <w:nsid w:val="7B5E1A5D"/>
    <w:multiLevelType w:val="hybridMultilevel"/>
    <w:tmpl w:val="31BA3B66"/>
    <w:lvl w:ilvl="0" w:tplc="1C3818B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248D5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1A735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84305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1C80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BA83F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48B6A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203F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CC15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BEF588C"/>
    <w:multiLevelType w:val="hybridMultilevel"/>
    <w:tmpl w:val="9D207936"/>
    <w:lvl w:ilvl="0" w:tplc="04130019">
      <w:start w:val="1"/>
      <w:numFmt w:val="lowerLetter"/>
      <w:lvlText w:val="%1."/>
      <w:lvlJc w:val="left"/>
      <w:pPr>
        <w:tabs>
          <w:tab w:val="num" w:pos="1092"/>
        </w:tabs>
        <w:ind w:left="1092" w:hanging="360"/>
      </w:pPr>
    </w:lvl>
    <w:lvl w:ilvl="1" w:tplc="04130019">
      <w:start w:val="1"/>
      <w:numFmt w:val="lowerLetter"/>
      <w:lvlText w:val="%2."/>
      <w:lvlJc w:val="left"/>
      <w:pPr>
        <w:tabs>
          <w:tab w:val="num" w:pos="1812"/>
        </w:tabs>
        <w:ind w:left="1812" w:hanging="360"/>
      </w:pPr>
    </w:lvl>
    <w:lvl w:ilvl="2" w:tplc="0413001B">
      <w:start w:val="1"/>
      <w:numFmt w:val="lowerRoman"/>
      <w:lvlText w:val="%3."/>
      <w:lvlJc w:val="right"/>
      <w:pPr>
        <w:tabs>
          <w:tab w:val="num" w:pos="2532"/>
        </w:tabs>
        <w:ind w:left="2532" w:hanging="180"/>
      </w:pPr>
    </w:lvl>
    <w:lvl w:ilvl="3" w:tplc="0413000F">
      <w:start w:val="1"/>
      <w:numFmt w:val="decimal"/>
      <w:lvlText w:val="%4."/>
      <w:lvlJc w:val="left"/>
      <w:pPr>
        <w:tabs>
          <w:tab w:val="num" w:pos="3252"/>
        </w:tabs>
        <w:ind w:left="3252" w:hanging="360"/>
      </w:pPr>
    </w:lvl>
    <w:lvl w:ilvl="4" w:tplc="04130019">
      <w:start w:val="1"/>
      <w:numFmt w:val="lowerLetter"/>
      <w:lvlText w:val="%5."/>
      <w:lvlJc w:val="left"/>
      <w:pPr>
        <w:tabs>
          <w:tab w:val="num" w:pos="3972"/>
        </w:tabs>
        <w:ind w:left="3972" w:hanging="360"/>
      </w:pPr>
    </w:lvl>
    <w:lvl w:ilvl="5" w:tplc="0413001B">
      <w:start w:val="1"/>
      <w:numFmt w:val="lowerRoman"/>
      <w:lvlText w:val="%6."/>
      <w:lvlJc w:val="right"/>
      <w:pPr>
        <w:tabs>
          <w:tab w:val="num" w:pos="4692"/>
        </w:tabs>
        <w:ind w:left="4692" w:hanging="180"/>
      </w:pPr>
    </w:lvl>
    <w:lvl w:ilvl="6" w:tplc="0413000F">
      <w:start w:val="1"/>
      <w:numFmt w:val="decimal"/>
      <w:lvlText w:val="%7."/>
      <w:lvlJc w:val="left"/>
      <w:pPr>
        <w:tabs>
          <w:tab w:val="num" w:pos="5412"/>
        </w:tabs>
        <w:ind w:left="5412" w:hanging="360"/>
      </w:pPr>
    </w:lvl>
    <w:lvl w:ilvl="7" w:tplc="04130019">
      <w:start w:val="1"/>
      <w:numFmt w:val="lowerLetter"/>
      <w:lvlText w:val="%8."/>
      <w:lvlJc w:val="left"/>
      <w:pPr>
        <w:tabs>
          <w:tab w:val="num" w:pos="6132"/>
        </w:tabs>
        <w:ind w:left="6132" w:hanging="360"/>
      </w:pPr>
    </w:lvl>
    <w:lvl w:ilvl="8" w:tplc="0413001B">
      <w:start w:val="1"/>
      <w:numFmt w:val="lowerRoman"/>
      <w:lvlText w:val="%9."/>
      <w:lvlJc w:val="right"/>
      <w:pPr>
        <w:tabs>
          <w:tab w:val="num" w:pos="6852"/>
        </w:tabs>
        <w:ind w:left="6852" w:hanging="180"/>
      </w:pPr>
    </w:lvl>
  </w:abstractNum>
  <w:abstractNum w:abstractNumId="50" w15:restartNumberingAfterBreak="0">
    <w:nsid w:val="7E014C77"/>
    <w:multiLevelType w:val="hybridMultilevel"/>
    <w:tmpl w:val="77EE5354"/>
    <w:lvl w:ilvl="0" w:tplc="3EAA71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6E599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0CF86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702C0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B2D5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849E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EFF7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483A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580F2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24763556">
    <w:abstractNumId w:val="28"/>
  </w:num>
  <w:num w:numId="2" w16cid:durableId="1746880767">
    <w:abstractNumId w:val="19"/>
  </w:num>
  <w:num w:numId="3" w16cid:durableId="461926630">
    <w:abstractNumId w:val="3"/>
  </w:num>
  <w:num w:numId="4" w16cid:durableId="247085075">
    <w:abstractNumId w:val="50"/>
  </w:num>
  <w:num w:numId="5" w16cid:durableId="1230536207">
    <w:abstractNumId w:val="24"/>
  </w:num>
  <w:num w:numId="6" w16cid:durableId="537855075">
    <w:abstractNumId w:val="48"/>
  </w:num>
  <w:num w:numId="7" w16cid:durableId="1508130535">
    <w:abstractNumId w:val="35"/>
  </w:num>
  <w:num w:numId="8" w16cid:durableId="1426729592">
    <w:abstractNumId w:val="12"/>
  </w:num>
  <w:num w:numId="9" w16cid:durableId="1372221928">
    <w:abstractNumId w:val="33"/>
  </w:num>
  <w:num w:numId="10" w16cid:durableId="653727237">
    <w:abstractNumId w:val="13"/>
  </w:num>
  <w:num w:numId="11" w16cid:durableId="1507015064">
    <w:abstractNumId w:val="34"/>
  </w:num>
  <w:num w:numId="12" w16cid:durableId="769397621">
    <w:abstractNumId w:val="17"/>
  </w:num>
  <w:num w:numId="13" w16cid:durableId="162550531">
    <w:abstractNumId w:val="9"/>
  </w:num>
  <w:num w:numId="14" w16cid:durableId="1629553615">
    <w:abstractNumId w:val="32"/>
  </w:num>
  <w:num w:numId="15" w16cid:durableId="886065666">
    <w:abstractNumId w:val="27"/>
  </w:num>
  <w:num w:numId="16" w16cid:durableId="647979016">
    <w:abstractNumId w:val="6"/>
  </w:num>
  <w:num w:numId="17" w16cid:durableId="236479242">
    <w:abstractNumId w:val="22"/>
  </w:num>
  <w:num w:numId="18" w16cid:durableId="385224819">
    <w:abstractNumId w:val="45"/>
  </w:num>
  <w:num w:numId="19" w16cid:durableId="352918538">
    <w:abstractNumId w:val="36"/>
  </w:num>
  <w:num w:numId="20" w16cid:durableId="487601919">
    <w:abstractNumId w:val="44"/>
  </w:num>
  <w:num w:numId="21" w16cid:durableId="2043244363">
    <w:abstractNumId w:val="43"/>
  </w:num>
  <w:num w:numId="22" w16cid:durableId="324553646">
    <w:abstractNumId w:val="21"/>
  </w:num>
  <w:num w:numId="23" w16cid:durableId="1546746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5452799">
    <w:abstractNumId w:val="2"/>
    <w:lvlOverride w:ilvl="0">
      <w:startOverride w:val="1"/>
    </w:lvlOverride>
    <w:lvlOverride w:ilvl="1"/>
    <w:lvlOverride w:ilvl="2"/>
    <w:lvlOverride w:ilvl="3"/>
    <w:lvlOverride w:ilvl="4"/>
    <w:lvlOverride w:ilvl="5"/>
    <w:lvlOverride w:ilvl="6"/>
    <w:lvlOverride w:ilvl="7"/>
    <w:lvlOverride w:ilvl="8"/>
  </w:num>
  <w:num w:numId="25" w16cid:durableId="734550598">
    <w:abstractNumId w:val="0"/>
    <w:lvlOverride w:ilvl="0">
      <w:startOverride w:val="3"/>
    </w:lvlOverride>
    <w:lvlOverride w:ilvl="1"/>
    <w:lvlOverride w:ilvl="2"/>
    <w:lvlOverride w:ilvl="3"/>
    <w:lvlOverride w:ilvl="4"/>
    <w:lvlOverride w:ilvl="5"/>
    <w:lvlOverride w:ilvl="6"/>
    <w:lvlOverride w:ilvl="7"/>
    <w:lvlOverride w:ilvl="8"/>
  </w:num>
  <w:num w:numId="26" w16cid:durableId="892152808">
    <w:abstractNumId w:val="5"/>
    <w:lvlOverride w:ilvl="0">
      <w:startOverride w:val="1"/>
    </w:lvlOverride>
  </w:num>
  <w:num w:numId="27" w16cid:durableId="3420532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3500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883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3249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80335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695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31246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9357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233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8172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7835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06886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96739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768933">
    <w:abstractNumId w:val="1"/>
    <w:lvlOverride w:ilvl="0">
      <w:startOverride w:val="1"/>
    </w:lvlOverride>
    <w:lvlOverride w:ilvl="1"/>
    <w:lvlOverride w:ilvl="2"/>
    <w:lvlOverride w:ilvl="3"/>
    <w:lvlOverride w:ilvl="4"/>
    <w:lvlOverride w:ilvl="5"/>
    <w:lvlOverride w:ilvl="6"/>
    <w:lvlOverride w:ilvl="7"/>
    <w:lvlOverride w:ilvl="8"/>
  </w:num>
  <w:num w:numId="41" w16cid:durableId="659968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8462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074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28970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170817">
    <w:abstractNumId w:val="38"/>
  </w:num>
  <w:num w:numId="46" w16cid:durableId="571157681">
    <w:abstractNumId w:val="4"/>
  </w:num>
  <w:num w:numId="47" w16cid:durableId="726757923">
    <w:abstractNumId w:val="14"/>
  </w:num>
  <w:num w:numId="48" w16cid:durableId="1902516335">
    <w:abstractNumId w:val="15"/>
  </w:num>
  <w:num w:numId="49" w16cid:durableId="1692223020">
    <w:abstractNumId w:val="7"/>
  </w:num>
  <w:num w:numId="50" w16cid:durableId="1399746435">
    <w:abstractNumId w:val="25"/>
  </w:num>
  <w:num w:numId="51" w16cid:durableId="510099085">
    <w:abstractNumId w:val="31"/>
  </w:num>
  <w:num w:numId="52" w16cid:durableId="993804268">
    <w:abstractNumId w:val="29"/>
  </w:num>
  <w:num w:numId="53" w16cid:durableId="278267179">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59"/>
    <w:rsid w:val="0000266C"/>
    <w:rsid w:val="00006480"/>
    <w:rsid w:val="00014208"/>
    <w:rsid w:val="0002459C"/>
    <w:rsid w:val="00032F33"/>
    <w:rsid w:val="00041E11"/>
    <w:rsid w:val="00042542"/>
    <w:rsid w:val="00044F56"/>
    <w:rsid w:val="00053A5E"/>
    <w:rsid w:val="000629EA"/>
    <w:rsid w:val="00072F59"/>
    <w:rsid w:val="00073D75"/>
    <w:rsid w:val="00081657"/>
    <w:rsid w:val="00090E67"/>
    <w:rsid w:val="000A56BF"/>
    <w:rsid w:val="000B6269"/>
    <w:rsid w:val="000C097A"/>
    <w:rsid w:val="000C1954"/>
    <w:rsid w:val="000C2B04"/>
    <w:rsid w:val="000D5390"/>
    <w:rsid w:val="000F6B26"/>
    <w:rsid w:val="001064FD"/>
    <w:rsid w:val="00114F3C"/>
    <w:rsid w:val="001264E3"/>
    <w:rsid w:val="001429E4"/>
    <w:rsid w:val="00143E99"/>
    <w:rsid w:val="00164540"/>
    <w:rsid w:val="00172154"/>
    <w:rsid w:val="00172B54"/>
    <w:rsid w:val="00175A17"/>
    <w:rsid w:val="001A4F52"/>
    <w:rsid w:val="001B47F0"/>
    <w:rsid w:val="001C1557"/>
    <w:rsid w:val="001C38F6"/>
    <w:rsid w:val="001C6C6D"/>
    <w:rsid w:val="001E35EB"/>
    <w:rsid w:val="001E36AB"/>
    <w:rsid w:val="001E36D7"/>
    <w:rsid w:val="001F012E"/>
    <w:rsid w:val="00200887"/>
    <w:rsid w:val="00204A10"/>
    <w:rsid w:val="00207FAF"/>
    <w:rsid w:val="00210DFF"/>
    <w:rsid w:val="002153F2"/>
    <w:rsid w:val="00216058"/>
    <w:rsid w:val="00227AFA"/>
    <w:rsid w:val="00234B20"/>
    <w:rsid w:val="00241DBA"/>
    <w:rsid w:val="00243667"/>
    <w:rsid w:val="00244FFB"/>
    <w:rsid w:val="00247466"/>
    <w:rsid w:val="00247C53"/>
    <w:rsid w:val="00252B83"/>
    <w:rsid w:val="00253125"/>
    <w:rsid w:val="00274901"/>
    <w:rsid w:val="00277821"/>
    <w:rsid w:val="00280036"/>
    <w:rsid w:val="00290F2F"/>
    <w:rsid w:val="00294C1F"/>
    <w:rsid w:val="002A3729"/>
    <w:rsid w:val="002A61EF"/>
    <w:rsid w:val="002B6AA4"/>
    <w:rsid w:val="002C0898"/>
    <w:rsid w:val="002C7931"/>
    <w:rsid w:val="002D1763"/>
    <w:rsid w:val="002F0E3C"/>
    <w:rsid w:val="002F50A9"/>
    <w:rsid w:val="003062BC"/>
    <w:rsid w:val="003177AE"/>
    <w:rsid w:val="0032212E"/>
    <w:rsid w:val="00325006"/>
    <w:rsid w:val="0033263F"/>
    <w:rsid w:val="003336AF"/>
    <w:rsid w:val="003426BE"/>
    <w:rsid w:val="00346B9C"/>
    <w:rsid w:val="00353380"/>
    <w:rsid w:val="00370426"/>
    <w:rsid w:val="003A3EEB"/>
    <w:rsid w:val="003A5FE3"/>
    <w:rsid w:val="003B481F"/>
    <w:rsid w:val="003B6E7D"/>
    <w:rsid w:val="003C3490"/>
    <w:rsid w:val="003C561A"/>
    <w:rsid w:val="003F5581"/>
    <w:rsid w:val="0041679E"/>
    <w:rsid w:val="004208B0"/>
    <w:rsid w:val="0042342E"/>
    <w:rsid w:val="00426DF0"/>
    <w:rsid w:val="00427B94"/>
    <w:rsid w:val="00452119"/>
    <w:rsid w:val="00461947"/>
    <w:rsid w:val="00466074"/>
    <w:rsid w:val="004804DB"/>
    <w:rsid w:val="0049023B"/>
    <w:rsid w:val="00491BA6"/>
    <w:rsid w:val="0049418C"/>
    <w:rsid w:val="004E0754"/>
    <w:rsid w:val="004E0AF6"/>
    <w:rsid w:val="004E4029"/>
    <w:rsid w:val="004E4B1E"/>
    <w:rsid w:val="004F78EB"/>
    <w:rsid w:val="0050193D"/>
    <w:rsid w:val="00501AD4"/>
    <w:rsid w:val="00512661"/>
    <w:rsid w:val="00520CDD"/>
    <w:rsid w:val="00521E4D"/>
    <w:rsid w:val="00524340"/>
    <w:rsid w:val="00530717"/>
    <w:rsid w:val="005309C9"/>
    <w:rsid w:val="00531171"/>
    <w:rsid w:val="005319F4"/>
    <w:rsid w:val="005367A6"/>
    <w:rsid w:val="005375E5"/>
    <w:rsid w:val="0054375D"/>
    <w:rsid w:val="005560E4"/>
    <w:rsid w:val="00557318"/>
    <w:rsid w:val="005644C2"/>
    <w:rsid w:val="005646F5"/>
    <w:rsid w:val="00564880"/>
    <w:rsid w:val="00594188"/>
    <w:rsid w:val="005C2394"/>
    <w:rsid w:val="005C35B3"/>
    <w:rsid w:val="005D031B"/>
    <w:rsid w:val="00611668"/>
    <w:rsid w:val="00613559"/>
    <w:rsid w:val="00613F7A"/>
    <w:rsid w:val="0061491C"/>
    <w:rsid w:val="006263BD"/>
    <w:rsid w:val="006660E9"/>
    <w:rsid w:val="00671790"/>
    <w:rsid w:val="006717B5"/>
    <w:rsid w:val="00673D95"/>
    <w:rsid w:val="00690C22"/>
    <w:rsid w:val="00695B39"/>
    <w:rsid w:val="006A4704"/>
    <w:rsid w:val="006B0F82"/>
    <w:rsid w:val="006B1BA7"/>
    <w:rsid w:val="006B2267"/>
    <w:rsid w:val="006B3B4D"/>
    <w:rsid w:val="006B6FC7"/>
    <w:rsid w:val="006C399D"/>
    <w:rsid w:val="006C5C1C"/>
    <w:rsid w:val="006E1B85"/>
    <w:rsid w:val="006E4DA1"/>
    <w:rsid w:val="006F1361"/>
    <w:rsid w:val="006F1DF9"/>
    <w:rsid w:val="006F4066"/>
    <w:rsid w:val="007039CE"/>
    <w:rsid w:val="00712B56"/>
    <w:rsid w:val="00715FE1"/>
    <w:rsid w:val="007212B7"/>
    <w:rsid w:val="00727508"/>
    <w:rsid w:val="0073461B"/>
    <w:rsid w:val="00741FBF"/>
    <w:rsid w:val="00744850"/>
    <w:rsid w:val="00753360"/>
    <w:rsid w:val="00756203"/>
    <w:rsid w:val="007623EB"/>
    <w:rsid w:val="0077164D"/>
    <w:rsid w:val="00772C3C"/>
    <w:rsid w:val="007750EB"/>
    <w:rsid w:val="00777EC8"/>
    <w:rsid w:val="00791688"/>
    <w:rsid w:val="007B2C76"/>
    <w:rsid w:val="007C4DE9"/>
    <w:rsid w:val="007C783E"/>
    <w:rsid w:val="007D7E87"/>
    <w:rsid w:val="007E5F75"/>
    <w:rsid w:val="007F1D55"/>
    <w:rsid w:val="007F29C5"/>
    <w:rsid w:val="007F37A9"/>
    <w:rsid w:val="00804E5D"/>
    <w:rsid w:val="00810485"/>
    <w:rsid w:val="00812D3B"/>
    <w:rsid w:val="00827E64"/>
    <w:rsid w:val="00864159"/>
    <w:rsid w:val="00877147"/>
    <w:rsid w:val="00877F6F"/>
    <w:rsid w:val="00887CD7"/>
    <w:rsid w:val="00891107"/>
    <w:rsid w:val="008945D1"/>
    <w:rsid w:val="008A121F"/>
    <w:rsid w:val="008A45D2"/>
    <w:rsid w:val="008A6D07"/>
    <w:rsid w:val="008B3E6E"/>
    <w:rsid w:val="008C76B4"/>
    <w:rsid w:val="008C7DFA"/>
    <w:rsid w:val="008D2464"/>
    <w:rsid w:val="008E0C58"/>
    <w:rsid w:val="008E47EC"/>
    <w:rsid w:val="008F0830"/>
    <w:rsid w:val="008F7F03"/>
    <w:rsid w:val="0090027B"/>
    <w:rsid w:val="00907C06"/>
    <w:rsid w:val="00921B87"/>
    <w:rsid w:val="00947292"/>
    <w:rsid w:val="00956DCB"/>
    <w:rsid w:val="009572BA"/>
    <w:rsid w:val="00965081"/>
    <w:rsid w:val="009718FE"/>
    <w:rsid w:val="00981FB9"/>
    <w:rsid w:val="00995B32"/>
    <w:rsid w:val="009A166E"/>
    <w:rsid w:val="009A3602"/>
    <w:rsid w:val="009A6C52"/>
    <w:rsid w:val="009B09C6"/>
    <w:rsid w:val="009D03D2"/>
    <w:rsid w:val="009D748E"/>
    <w:rsid w:val="009E0B9B"/>
    <w:rsid w:val="009E5460"/>
    <w:rsid w:val="009F178E"/>
    <w:rsid w:val="00A004DA"/>
    <w:rsid w:val="00A03BCF"/>
    <w:rsid w:val="00A12A78"/>
    <w:rsid w:val="00A349EF"/>
    <w:rsid w:val="00A510C6"/>
    <w:rsid w:val="00A5497F"/>
    <w:rsid w:val="00A578CE"/>
    <w:rsid w:val="00A623DF"/>
    <w:rsid w:val="00A65419"/>
    <w:rsid w:val="00A67BD7"/>
    <w:rsid w:val="00A76509"/>
    <w:rsid w:val="00A82BDC"/>
    <w:rsid w:val="00A95482"/>
    <w:rsid w:val="00AA0174"/>
    <w:rsid w:val="00AA112E"/>
    <w:rsid w:val="00AA2065"/>
    <w:rsid w:val="00AB123B"/>
    <w:rsid w:val="00AC1C1A"/>
    <w:rsid w:val="00AC24EC"/>
    <w:rsid w:val="00AE4F6F"/>
    <w:rsid w:val="00AE731F"/>
    <w:rsid w:val="00B12B05"/>
    <w:rsid w:val="00B172A7"/>
    <w:rsid w:val="00B21F69"/>
    <w:rsid w:val="00B24E42"/>
    <w:rsid w:val="00B50F5B"/>
    <w:rsid w:val="00B6478B"/>
    <w:rsid w:val="00B6567B"/>
    <w:rsid w:val="00B661AD"/>
    <w:rsid w:val="00B74ED7"/>
    <w:rsid w:val="00B82AA3"/>
    <w:rsid w:val="00B921CB"/>
    <w:rsid w:val="00BA07F6"/>
    <w:rsid w:val="00BA4868"/>
    <w:rsid w:val="00BE01E7"/>
    <w:rsid w:val="00BE2525"/>
    <w:rsid w:val="00BE7530"/>
    <w:rsid w:val="00C139C5"/>
    <w:rsid w:val="00C14E28"/>
    <w:rsid w:val="00C21AAC"/>
    <w:rsid w:val="00C21C0E"/>
    <w:rsid w:val="00C32FAE"/>
    <w:rsid w:val="00C34303"/>
    <w:rsid w:val="00C42BA7"/>
    <w:rsid w:val="00C50D91"/>
    <w:rsid w:val="00C511AD"/>
    <w:rsid w:val="00C51F45"/>
    <w:rsid w:val="00C5274B"/>
    <w:rsid w:val="00C55CDA"/>
    <w:rsid w:val="00C61AB2"/>
    <w:rsid w:val="00C72480"/>
    <w:rsid w:val="00C772F2"/>
    <w:rsid w:val="00C8171A"/>
    <w:rsid w:val="00C92CF3"/>
    <w:rsid w:val="00CA2D5C"/>
    <w:rsid w:val="00CA3D98"/>
    <w:rsid w:val="00CA64F9"/>
    <w:rsid w:val="00CB1F76"/>
    <w:rsid w:val="00CB5701"/>
    <w:rsid w:val="00CC01D3"/>
    <w:rsid w:val="00CC6391"/>
    <w:rsid w:val="00CC70A6"/>
    <w:rsid w:val="00CD13E4"/>
    <w:rsid w:val="00CE3C57"/>
    <w:rsid w:val="00CF0AFE"/>
    <w:rsid w:val="00D12F3C"/>
    <w:rsid w:val="00D25292"/>
    <w:rsid w:val="00D31A7A"/>
    <w:rsid w:val="00D31EC4"/>
    <w:rsid w:val="00D33891"/>
    <w:rsid w:val="00D3757D"/>
    <w:rsid w:val="00D41915"/>
    <w:rsid w:val="00D43B85"/>
    <w:rsid w:val="00D51212"/>
    <w:rsid w:val="00D51322"/>
    <w:rsid w:val="00D55328"/>
    <w:rsid w:val="00D728A7"/>
    <w:rsid w:val="00D839F7"/>
    <w:rsid w:val="00D8659E"/>
    <w:rsid w:val="00D8669D"/>
    <w:rsid w:val="00D97E9D"/>
    <w:rsid w:val="00DA5BA9"/>
    <w:rsid w:val="00DA7105"/>
    <w:rsid w:val="00DA7F9F"/>
    <w:rsid w:val="00DB24CD"/>
    <w:rsid w:val="00DB34AC"/>
    <w:rsid w:val="00DB47E7"/>
    <w:rsid w:val="00DB76E4"/>
    <w:rsid w:val="00DC7638"/>
    <w:rsid w:val="00DE69CE"/>
    <w:rsid w:val="00E022A8"/>
    <w:rsid w:val="00E21024"/>
    <w:rsid w:val="00E2114B"/>
    <w:rsid w:val="00E2208E"/>
    <w:rsid w:val="00E22F65"/>
    <w:rsid w:val="00E30061"/>
    <w:rsid w:val="00E33819"/>
    <w:rsid w:val="00E4006B"/>
    <w:rsid w:val="00E40A98"/>
    <w:rsid w:val="00E613DF"/>
    <w:rsid w:val="00E67852"/>
    <w:rsid w:val="00E748F4"/>
    <w:rsid w:val="00E94C43"/>
    <w:rsid w:val="00EA2FE1"/>
    <w:rsid w:val="00EB5221"/>
    <w:rsid w:val="00EC45A6"/>
    <w:rsid w:val="00ED378F"/>
    <w:rsid w:val="00EE6C51"/>
    <w:rsid w:val="00EF72D8"/>
    <w:rsid w:val="00F1434D"/>
    <w:rsid w:val="00F1552D"/>
    <w:rsid w:val="00F215E6"/>
    <w:rsid w:val="00F24AEE"/>
    <w:rsid w:val="00F323C0"/>
    <w:rsid w:val="00F35C59"/>
    <w:rsid w:val="00F40A42"/>
    <w:rsid w:val="00F419AD"/>
    <w:rsid w:val="00F42D37"/>
    <w:rsid w:val="00F42F1B"/>
    <w:rsid w:val="00F430A1"/>
    <w:rsid w:val="00F4398D"/>
    <w:rsid w:val="00F468C4"/>
    <w:rsid w:val="00F472F4"/>
    <w:rsid w:val="00F67FB2"/>
    <w:rsid w:val="00F70DE2"/>
    <w:rsid w:val="00F721FE"/>
    <w:rsid w:val="00F72E78"/>
    <w:rsid w:val="00F764FC"/>
    <w:rsid w:val="00F76B8A"/>
    <w:rsid w:val="00F92342"/>
    <w:rsid w:val="00F960DD"/>
    <w:rsid w:val="00F97664"/>
    <w:rsid w:val="00FA485D"/>
    <w:rsid w:val="00FA4F5A"/>
    <w:rsid w:val="00FB3688"/>
    <w:rsid w:val="00FB634B"/>
    <w:rsid w:val="00FD74EB"/>
    <w:rsid w:val="00FF5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E99D"/>
  <w15:docId w15:val="{03AE5380-2A92-4110-BB0E-9B5C9FF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460"/>
    <w:pPr>
      <w:spacing w:after="4" w:line="302" w:lineRule="auto"/>
      <w:ind w:left="10" w:hanging="10"/>
    </w:pPr>
    <w:rPr>
      <w:rFonts w:ascii="Arial" w:eastAsia="Arial" w:hAnsi="Arial" w:cs="Arial"/>
      <w:color w:val="000000"/>
      <w:sz w:val="20"/>
    </w:rPr>
  </w:style>
  <w:style w:type="paragraph" w:styleId="Kop1">
    <w:name w:val="heading 1"/>
    <w:next w:val="Standaard"/>
    <w:link w:val="Kop1Char"/>
    <w:uiPriority w:val="9"/>
    <w:unhideWhenUsed/>
    <w:qFormat/>
    <w:rsid w:val="009E5460"/>
    <w:pPr>
      <w:keepNext/>
      <w:keepLines/>
      <w:spacing w:after="33"/>
      <w:ind w:left="10" w:hanging="10"/>
      <w:outlineLvl w:val="0"/>
    </w:pPr>
    <w:rPr>
      <w:rFonts w:ascii="Arial" w:eastAsia="Arial" w:hAnsi="Arial" w:cs="Arial"/>
      <w:b/>
      <w:color w:val="000000"/>
      <w:sz w:val="20"/>
    </w:rPr>
  </w:style>
  <w:style w:type="paragraph" w:styleId="Kop2">
    <w:name w:val="heading 2"/>
    <w:next w:val="Standaard"/>
    <w:link w:val="Kop2Char"/>
    <w:uiPriority w:val="9"/>
    <w:unhideWhenUsed/>
    <w:qFormat/>
    <w:rsid w:val="009E5460"/>
    <w:pPr>
      <w:keepNext/>
      <w:keepLines/>
      <w:spacing w:after="33"/>
      <w:ind w:left="10" w:hanging="10"/>
      <w:outlineLvl w:val="1"/>
    </w:pPr>
    <w:rPr>
      <w:rFonts w:ascii="Arial" w:eastAsia="Arial" w:hAnsi="Arial" w:cs="Arial"/>
      <w:b/>
      <w:color w:val="000000"/>
      <w:sz w:val="20"/>
    </w:rPr>
  </w:style>
  <w:style w:type="paragraph" w:styleId="Kop3">
    <w:name w:val="heading 3"/>
    <w:next w:val="Standaard"/>
    <w:link w:val="Kop3Char"/>
    <w:uiPriority w:val="9"/>
    <w:unhideWhenUsed/>
    <w:qFormat/>
    <w:rsid w:val="009E5460"/>
    <w:pPr>
      <w:keepNext/>
      <w:keepLines/>
      <w:spacing w:after="33"/>
      <w:ind w:left="10" w:hanging="10"/>
      <w:outlineLvl w:val="2"/>
    </w:pPr>
    <w:rPr>
      <w:rFonts w:ascii="Arial" w:eastAsia="Arial" w:hAnsi="Arial" w:cs="Arial"/>
      <w:color w:val="000000"/>
      <w:sz w:val="20"/>
      <w:u w:val="single" w:color="000000"/>
    </w:rPr>
  </w:style>
  <w:style w:type="paragraph" w:styleId="Kop4">
    <w:name w:val="heading 4"/>
    <w:basedOn w:val="Standaard"/>
    <w:next w:val="Standaard"/>
    <w:link w:val="Kop4Char"/>
    <w:uiPriority w:val="9"/>
    <w:semiHidden/>
    <w:unhideWhenUsed/>
    <w:qFormat/>
    <w:rsid w:val="00D513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9E5460"/>
    <w:rPr>
      <w:rFonts w:ascii="Arial" w:eastAsia="Arial" w:hAnsi="Arial" w:cs="Arial"/>
      <w:color w:val="000000"/>
      <w:sz w:val="20"/>
      <w:u w:val="single" w:color="000000"/>
    </w:rPr>
  </w:style>
  <w:style w:type="character" w:customStyle="1" w:styleId="Kop1Char">
    <w:name w:val="Kop 1 Char"/>
    <w:link w:val="Kop1"/>
    <w:rsid w:val="009E5460"/>
    <w:rPr>
      <w:rFonts w:ascii="Arial" w:eastAsia="Arial" w:hAnsi="Arial" w:cs="Arial"/>
      <w:b/>
      <w:color w:val="000000"/>
      <w:sz w:val="20"/>
    </w:rPr>
  </w:style>
  <w:style w:type="character" w:customStyle="1" w:styleId="Kop2Char">
    <w:name w:val="Kop 2 Char"/>
    <w:link w:val="Kop2"/>
    <w:rsid w:val="009E5460"/>
    <w:rPr>
      <w:rFonts w:ascii="Arial" w:eastAsia="Arial" w:hAnsi="Arial" w:cs="Arial"/>
      <w:b/>
      <w:color w:val="000000"/>
      <w:sz w:val="20"/>
    </w:rPr>
  </w:style>
  <w:style w:type="paragraph" w:styleId="Voetnoottekst">
    <w:name w:val="footnote text"/>
    <w:basedOn w:val="Standaard"/>
    <w:link w:val="VoetnoottekstChar"/>
    <w:uiPriority w:val="99"/>
    <w:unhideWhenUsed/>
    <w:rsid w:val="003336AF"/>
    <w:pPr>
      <w:spacing w:after="0" w:line="240" w:lineRule="auto"/>
    </w:pPr>
    <w:rPr>
      <w:szCs w:val="20"/>
    </w:rPr>
  </w:style>
  <w:style w:type="character" w:customStyle="1" w:styleId="VoetnoottekstChar">
    <w:name w:val="Voetnoottekst Char"/>
    <w:basedOn w:val="Standaardalinea-lettertype"/>
    <w:link w:val="Voetnoottekst"/>
    <w:uiPriority w:val="99"/>
    <w:rsid w:val="003336AF"/>
    <w:rPr>
      <w:rFonts w:ascii="Arial" w:eastAsia="Arial" w:hAnsi="Arial" w:cs="Arial"/>
      <w:color w:val="000000"/>
      <w:sz w:val="20"/>
      <w:szCs w:val="20"/>
    </w:rPr>
  </w:style>
  <w:style w:type="character" w:styleId="Voetnootmarkering">
    <w:name w:val="footnote reference"/>
    <w:basedOn w:val="Standaardalinea-lettertype"/>
    <w:semiHidden/>
    <w:unhideWhenUsed/>
    <w:rsid w:val="003336AF"/>
    <w:rPr>
      <w:vertAlign w:val="superscript"/>
    </w:rPr>
  </w:style>
  <w:style w:type="paragraph" w:styleId="Koptekst">
    <w:name w:val="header"/>
    <w:basedOn w:val="Standaard"/>
    <w:link w:val="KoptekstChar"/>
    <w:uiPriority w:val="99"/>
    <w:semiHidden/>
    <w:unhideWhenUsed/>
    <w:rsid w:val="003336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336AF"/>
    <w:rPr>
      <w:rFonts w:ascii="Arial" w:eastAsia="Arial" w:hAnsi="Arial" w:cs="Arial"/>
      <w:color w:val="000000"/>
      <w:sz w:val="20"/>
    </w:rPr>
  </w:style>
  <w:style w:type="character" w:styleId="Verwijzingopmerking">
    <w:name w:val="annotation reference"/>
    <w:basedOn w:val="Standaardalinea-lettertype"/>
    <w:uiPriority w:val="99"/>
    <w:semiHidden/>
    <w:unhideWhenUsed/>
    <w:rsid w:val="00D12F3C"/>
    <w:rPr>
      <w:sz w:val="16"/>
      <w:szCs w:val="16"/>
    </w:rPr>
  </w:style>
  <w:style w:type="paragraph" w:styleId="Tekstopmerking">
    <w:name w:val="annotation text"/>
    <w:basedOn w:val="Standaard"/>
    <w:link w:val="TekstopmerkingChar"/>
    <w:uiPriority w:val="99"/>
    <w:unhideWhenUsed/>
    <w:rsid w:val="00D12F3C"/>
    <w:pPr>
      <w:spacing w:line="240" w:lineRule="auto"/>
    </w:pPr>
    <w:rPr>
      <w:szCs w:val="20"/>
    </w:rPr>
  </w:style>
  <w:style w:type="character" w:customStyle="1" w:styleId="TekstopmerkingChar">
    <w:name w:val="Tekst opmerking Char"/>
    <w:basedOn w:val="Standaardalinea-lettertype"/>
    <w:link w:val="Tekstopmerking"/>
    <w:uiPriority w:val="99"/>
    <w:rsid w:val="00D12F3C"/>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12F3C"/>
    <w:rPr>
      <w:b/>
      <w:bCs/>
    </w:rPr>
  </w:style>
  <w:style w:type="character" w:customStyle="1" w:styleId="OnderwerpvanopmerkingChar">
    <w:name w:val="Onderwerp van opmerking Char"/>
    <w:basedOn w:val="TekstopmerkingChar"/>
    <w:link w:val="Onderwerpvanopmerking"/>
    <w:uiPriority w:val="99"/>
    <w:semiHidden/>
    <w:rsid w:val="00D12F3C"/>
    <w:rPr>
      <w:rFonts w:ascii="Arial" w:eastAsia="Arial" w:hAnsi="Arial" w:cs="Arial"/>
      <w:b/>
      <w:bCs/>
      <w:color w:val="000000"/>
      <w:sz w:val="20"/>
      <w:szCs w:val="20"/>
    </w:rPr>
  </w:style>
  <w:style w:type="paragraph" w:styleId="Ballontekst">
    <w:name w:val="Balloon Text"/>
    <w:basedOn w:val="Standaard"/>
    <w:link w:val="BallontekstChar"/>
    <w:uiPriority w:val="99"/>
    <w:semiHidden/>
    <w:unhideWhenUsed/>
    <w:rsid w:val="00D12F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2F3C"/>
    <w:rPr>
      <w:rFonts w:ascii="Segoe UI" w:eastAsia="Arial" w:hAnsi="Segoe UI" w:cs="Segoe UI"/>
      <w:color w:val="000000"/>
      <w:sz w:val="18"/>
      <w:szCs w:val="18"/>
    </w:rPr>
  </w:style>
  <w:style w:type="paragraph" w:styleId="Revisie">
    <w:name w:val="Revision"/>
    <w:hidden/>
    <w:uiPriority w:val="99"/>
    <w:semiHidden/>
    <w:rsid w:val="00A67BD7"/>
    <w:pPr>
      <w:spacing w:after="0" w:line="240" w:lineRule="auto"/>
    </w:pPr>
    <w:rPr>
      <w:rFonts w:ascii="Arial" w:eastAsia="Arial" w:hAnsi="Arial" w:cs="Arial"/>
      <w:color w:val="000000"/>
      <w:sz w:val="20"/>
    </w:rPr>
  </w:style>
  <w:style w:type="paragraph" w:styleId="Lijstalinea">
    <w:name w:val="List Paragraph"/>
    <w:basedOn w:val="Standaard"/>
    <w:uiPriority w:val="34"/>
    <w:qFormat/>
    <w:rsid w:val="006F1DF9"/>
    <w:pPr>
      <w:ind w:left="720"/>
      <w:contextualSpacing/>
    </w:pPr>
  </w:style>
  <w:style w:type="character" w:styleId="Hyperlink">
    <w:name w:val="Hyperlink"/>
    <w:basedOn w:val="Standaardalinea-lettertype"/>
    <w:uiPriority w:val="99"/>
    <w:unhideWhenUsed/>
    <w:rsid w:val="00B921CB"/>
    <w:rPr>
      <w:color w:val="0563C1" w:themeColor="hyperlink"/>
      <w:u w:val="single"/>
    </w:rPr>
  </w:style>
  <w:style w:type="character" w:styleId="Onopgelostemelding">
    <w:name w:val="Unresolved Mention"/>
    <w:basedOn w:val="Standaardalinea-lettertype"/>
    <w:uiPriority w:val="99"/>
    <w:semiHidden/>
    <w:unhideWhenUsed/>
    <w:rsid w:val="00B921CB"/>
    <w:rPr>
      <w:color w:val="605E5C"/>
      <w:shd w:val="clear" w:color="auto" w:fill="E1DFDD"/>
    </w:rPr>
  </w:style>
  <w:style w:type="character" w:customStyle="1" w:styleId="Kop4Char">
    <w:name w:val="Kop 4 Char"/>
    <w:basedOn w:val="Standaardalinea-lettertype"/>
    <w:link w:val="Kop4"/>
    <w:uiPriority w:val="9"/>
    <w:semiHidden/>
    <w:rsid w:val="00D51322"/>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67442">
      <w:bodyDiv w:val="1"/>
      <w:marLeft w:val="0"/>
      <w:marRight w:val="0"/>
      <w:marTop w:val="0"/>
      <w:marBottom w:val="0"/>
      <w:divBdr>
        <w:top w:val="none" w:sz="0" w:space="0" w:color="auto"/>
        <w:left w:val="none" w:sz="0" w:space="0" w:color="auto"/>
        <w:bottom w:val="none" w:sz="0" w:space="0" w:color="auto"/>
        <w:right w:val="none" w:sz="0" w:space="0" w:color="auto"/>
      </w:divBdr>
    </w:div>
    <w:div w:id="1612123839">
      <w:bodyDiv w:val="1"/>
      <w:marLeft w:val="0"/>
      <w:marRight w:val="0"/>
      <w:marTop w:val="0"/>
      <w:marBottom w:val="0"/>
      <w:divBdr>
        <w:top w:val="none" w:sz="0" w:space="0" w:color="auto"/>
        <w:left w:val="none" w:sz="0" w:space="0" w:color="auto"/>
        <w:bottom w:val="none" w:sz="0" w:space="0" w:color="auto"/>
        <w:right w:val="none" w:sz="0" w:space="0" w:color="auto"/>
      </w:divBdr>
      <w:divsChild>
        <w:div w:id="1809273824">
          <w:marLeft w:val="0"/>
          <w:marRight w:val="0"/>
          <w:marTop w:val="60"/>
          <w:marBottom w:val="60"/>
          <w:divBdr>
            <w:top w:val="none" w:sz="0" w:space="0" w:color="auto"/>
            <w:left w:val="none" w:sz="0" w:space="0" w:color="auto"/>
            <w:bottom w:val="none" w:sz="0" w:space="0" w:color="auto"/>
            <w:right w:val="none" w:sz="0" w:space="0" w:color="auto"/>
          </w:divBdr>
        </w:div>
      </w:divsChild>
    </w:div>
    <w:div w:id="210483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7" ma:contentTypeDescription="Een nieuw document maken." ma:contentTypeScope="" ma:versionID="ed4a52310fbc9657e680aedc1d1d626c">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1b4c96367c4ba2a0dbc9865c82644a6f"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3910d-ab50-4242-942f-840934c91a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e63aaca-a76b-4ed8-9921-2e5c03c203cc}" ma:internalName="TaxCatchAll" ma:showField="CatchAllData" ma:web="ebe9c093-7258-400c-b57b-15ad3d75e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2d6d1f-80b6-4df1-8776-b89d1f0f5fdd">
      <Terms xmlns="http://schemas.microsoft.com/office/infopath/2007/PartnerControls"/>
    </lcf76f155ced4ddcb4097134ff3c332f>
    <TaxCatchAll xmlns="ebe9c093-7258-400c-b57b-15ad3d75e4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DFFE-CC8C-4294-99BB-219FB8D8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1E4BB-D058-4DB6-92AF-1F7DF15912C9}">
  <ds:schemaRefs>
    <ds:schemaRef ds:uri="http://schemas.microsoft.com/office/2006/metadata/properties"/>
    <ds:schemaRef ds:uri="http://schemas.microsoft.com/office/infopath/2007/PartnerControls"/>
    <ds:schemaRef ds:uri="612d6d1f-80b6-4df1-8776-b89d1f0f5fdd"/>
    <ds:schemaRef ds:uri="ebe9c093-7258-400c-b57b-15ad3d75e464"/>
  </ds:schemaRefs>
</ds:datastoreItem>
</file>

<file path=customXml/itemProps3.xml><?xml version="1.0" encoding="utf-8"?>
<ds:datastoreItem xmlns:ds="http://schemas.openxmlformats.org/officeDocument/2006/customXml" ds:itemID="{288EC9B0-4219-465A-8A01-8A2456C22C70}">
  <ds:schemaRefs>
    <ds:schemaRef ds:uri="http://schemas.microsoft.com/sharepoint/v3/contenttype/forms"/>
  </ds:schemaRefs>
</ds:datastoreItem>
</file>

<file path=customXml/itemProps4.xml><?xml version="1.0" encoding="utf-8"?>
<ds:datastoreItem xmlns:ds="http://schemas.openxmlformats.org/officeDocument/2006/customXml" ds:itemID="{01F45B88-7C92-4C2E-8080-B5056FA2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4292</Words>
  <Characters>23607</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Soella Mirshahi</dc:creator>
  <cp:lastModifiedBy>Margriet Pflug</cp:lastModifiedBy>
  <cp:revision>2</cp:revision>
  <cp:lastPrinted>2023-03-20T09:34:00Z</cp:lastPrinted>
  <dcterms:created xsi:type="dcterms:W3CDTF">2023-08-21T13:23:00Z</dcterms:created>
  <dcterms:modified xsi:type="dcterms:W3CDTF">2023-08-21T13:23:00Z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0x0101005164B8EDF828F649834493EF0C88A5790041E0267F04AB424C8DA214F36D76A986</vt:lpwstr>
  </property>
  <property fmtid="{D5CDD505-2E9C-101B-9397-08002B2CF9AE}" pid="3" name="Order">
    <vt:r8>600</vt:r8>
  </property>
  <property fmtid="{D5CDD505-2E9C-101B-9397-08002B2CF9AE}" pid="4" name="Has attachment">
    <vt:bool>false</vt:bool>
  </property>
  <property fmtid="{D5CDD505-2E9C-101B-9397-08002B2CF9AE}" pid="5" name="_dlc_DocIdItemGuid">
    <vt:lpwstr>b56d4c91-1e64-4068-a19d-d0d7cf1e5bdd</vt:lpwstr>
  </property>
  <property fmtid="{D5CDD505-2E9C-101B-9397-08002B2CF9AE}" pid="6" name="ContentType">
    <vt:lpwstr>DMS Document</vt:lpwstr>
  </property>
  <property fmtid="{D5CDD505-2E9C-101B-9397-08002B2CF9AE}" pid="7" name="ClientCode">
    <vt:lpwstr>AEDES02</vt:lpwstr>
  </property>
  <property fmtid="{D5CDD505-2E9C-101B-9397-08002B2CF9AE}" pid="8" name="ClientName">
    <vt:lpwstr>Aedes</vt:lpwstr>
  </property>
  <property fmtid="{D5CDD505-2E9C-101B-9397-08002B2CF9AE}" pid="9" name="MatterCode">
    <vt:lpwstr>177772</vt:lpwstr>
  </property>
  <property fmtid="{D5CDD505-2E9C-101B-9397-08002B2CF9AE}" pid="10" name="MatterName">
    <vt:lpwstr>Aedes/B.O.A.</vt:lpwstr>
  </property>
  <property fmtid="{D5CDD505-2E9C-101B-9397-08002B2CF9AE}" pid="11" name="Modified">
    <vt:lpwstr>2023-03-20T09:34:00+00:00</vt:lpwstr>
  </property>
  <property fmtid="{D5CDD505-2E9C-101B-9397-08002B2CF9AE}" pid="12" name="Created">
    <vt:lpwstr>2023-03-20T09:34:00+00:00</vt:lpwstr>
  </property>
  <property fmtid="{D5CDD505-2E9C-101B-9397-08002B2CF9AE}" pid="13" name="_dlc_DocId">
    <vt:lpwstr>DMS177772-2028639592-2179</vt:lpwstr>
  </property>
  <property fmtid="{D5CDD505-2E9C-101B-9397-08002B2CF9AE}" pid="14" name="_dlc_DocIdUrl">
    <vt:lpwstr>https://vbtm.sharepoint.com/sites/DMS177772/_layouts/15/DocIdRedir.aspx?ID=DMS177772-2028639592-2179, DMS177772-2028639592-2179</vt:lpwstr>
  </property>
</Properties>
</file>